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outlineLvl w:val="0"/>
        <w:rPr>
          <w:rFonts w:ascii="方正小标宋简体" w:hAnsi="宋体" w:eastAsia="方正小标宋简体"/>
          <w:b/>
          <w:bCs/>
          <w:color w:val="000000"/>
          <w:sz w:val="52"/>
          <w:szCs w:val="52"/>
        </w:rPr>
      </w:pPr>
    </w:p>
    <w:p>
      <w:pPr>
        <w:adjustRightInd w:val="0"/>
        <w:snapToGrid w:val="0"/>
        <w:spacing w:line="360" w:lineRule="auto"/>
        <w:jc w:val="center"/>
        <w:outlineLvl w:val="0"/>
        <w:rPr>
          <w:rFonts w:ascii="方正小标宋简体" w:hAnsi="宋体" w:eastAsia="方正小标宋简体"/>
          <w:b/>
          <w:bCs/>
          <w:color w:val="000000"/>
          <w:sz w:val="52"/>
          <w:szCs w:val="52"/>
        </w:rPr>
      </w:pPr>
      <w:r>
        <w:rPr>
          <w:rFonts w:hint="eastAsia" w:ascii="方正小标宋简体" w:hAnsi="宋体" w:eastAsia="方正小标宋简体"/>
          <w:b/>
          <w:bCs/>
          <w:color w:val="000000"/>
          <w:sz w:val="52"/>
          <w:szCs w:val="52"/>
        </w:rPr>
        <w:t>乐至县档案馆</w:t>
      </w:r>
    </w:p>
    <w:p>
      <w:pPr>
        <w:adjustRightInd w:val="0"/>
        <w:snapToGrid w:val="0"/>
        <w:spacing w:line="360" w:lineRule="auto"/>
        <w:jc w:val="center"/>
        <w:outlineLvl w:val="0"/>
        <w:rPr>
          <w:rFonts w:ascii="方正小标宋简体" w:hAnsi="宋体" w:eastAsia="方正小标宋简体"/>
          <w:b/>
          <w:bCs/>
          <w:color w:val="000000"/>
          <w:sz w:val="52"/>
          <w:szCs w:val="52"/>
        </w:rPr>
      </w:pPr>
      <w:r>
        <w:rPr>
          <w:rFonts w:ascii="黑体" w:hAnsi="黑体" w:eastAsia="黑体"/>
          <w:b/>
          <w:bCs/>
          <w:color w:val="000000"/>
          <w:sz w:val="52"/>
          <w:szCs w:val="52"/>
        </w:rPr>
        <w:t>2019年</w:t>
      </w:r>
      <w:r>
        <w:rPr>
          <w:rFonts w:hint="eastAsia" w:ascii="方正小标宋简体" w:hAnsi="宋体" w:eastAsia="方正小标宋简体"/>
          <w:b/>
          <w:bCs/>
          <w:color w:val="000000"/>
          <w:sz w:val="52"/>
          <w:szCs w:val="52"/>
        </w:rPr>
        <w:t>度部门决算编制说明</w:t>
      </w:r>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 xml:space="preserve">目 </w:t>
      </w:r>
      <w:bookmarkStart w:id="61" w:name="_GoBack"/>
      <w:bookmarkEnd w:id="61"/>
      <w:r>
        <w:rPr>
          <w:rFonts w:hint="eastAsia" w:ascii="黑体" w:hAnsi="黑体" w:eastAsia="黑体"/>
          <w:color w:val="000000"/>
          <w:sz w:val="48"/>
          <w:szCs w:val="48"/>
        </w:rPr>
        <w:t xml:space="preserve">  录</w:t>
      </w:r>
    </w:p>
    <w:p>
      <w:pPr>
        <w:widowControl/>
        <w:jc w:val="center"/>
        <w:rPr>
          <w:rFonts w:ascii="新宋体" w:hAnsi="新宋体" w:eastAsia="新宋体" w:cs="新宋体"/>
          <w:sz w:val="28"/>
          <w:szCs w:val="28"/>
        </w:rPr>
      </w:pPr>
      <w:r>
        <w:rPr>
          <w:rFonts w:hint="eastAsia" w:ascii="新宋体" w:hAnsi="新宋体" w:eastAsia="新宋体" w:cs="新宋体"/>
          <w:color w:val="000000"/>
          <w:sz w:val="28"/>
          <w:szCs w:val="28"/>
        </w:rPr>
        <w:fldChar w:fldCharType="begin"/>
      </w:r>
      <w:r>
        <w:rPr>
          <w:rFonts w:hint="eastAsia" w:ascii="新宋体" w:hAnsi="新宋体" w:eastAsia="新宋体" w:cs="新宋体"/>
          <w:color w:val="000000"/>
          <w:sz w:val="28"/>
          <w:szCs w:val="28"/>
        </w:rPr>
        <w:instrText xml:space="preserve"> TOC \o "1-2" \h \z \u </w:instrText>
      </w:r>
      <w:r>
        <w:rPr>
          <w:rFonts w:hint="eastAsia" w:ascii="新宋体" w:hAnsi="新宋体" w:eastAsia="新宋体" w:cs="新宋体"/>
          <w:color w:val="000000"/>
          <w:sz w:val="28"/>
          <w:szCs w:val="28"/>
        </w:rPr>
        <w:fldChar w:fldCharType="separate"/>
      </w:r>
    </w:p>
    <w:p>
      <w:pPr>
        <w:pStyle w:val="8"/>
        <w:rPr>
          <w:rFonts w:ascii="新宋体" w:hAnsi="新宋体" w:eastAsia="新宋体" w:cs="新宋体"/>
        </w:rPr>
      </w:pPr>
      <w:r>
        <w:rPr>
          <w:rFonts w:hint="eastAsia" w:ascii="新宋体" w:hAnsi="新宋体" w:eastAsia="新宋体" w:cs="新宋体"/>
        </w:rPr>
        <w:t>公开时间：20</w:t>
      </w:r>
      <w:r>
        <w:rPr>
          <w:rFonts w:hint="eastAsia" w:ascii="新宋体" w:hAnsi="新宋体" w:eastAsia="新宋体" w:cs="新宋体"/>
          <w:lang w:val="en-US" w:eastAsia="zh-CN"/>
        </w:rPr>
        <w:t>20</w:t>
      </w:r>
      <w:r>
        <w:rPr>
          <w:rFonts w:hint="eastAsia" w:ascii="新宋体" w:hAnsi="新宋体" w:eastAsia="新宋体" w:cs="新宋体"/>
        </w:rPr>
        <w:t>年9月16日</w:t>
      </w:r>
    </w:p>
    <w:p>
      <w:pPr>
        <w:rPr>
          <w:rFonts w:ascii="新宋体" w:hAnsi="新宋体" w:eastAsia="新宋体" w:cs="新宋体"/>
          <w:sz w:val="28"/>
          <w:szCs w:val="28"/>
        </w:rPr>
      </w:pPr>
    </w:p>
    <w:p>
      <w:pPr>
        <w:pStyle w:val="8"/>
        <w:rPr>
          <w:rFonts w:ascii="新宋体" w:hAnsi="新宋体" w:eastAsia="新宋体" w:cs="新宋体"/>
        </w:rPr>
      </w:pPr>
      <w:r>
        <w:fldChar w:fldCharType="begin"/>
      </w:r>
      <w:r>
        <w:instrText xml:space="preserve"> HYPERLINK \l "_Toc15396599" </w:instrText>
      </w:r>
      <w:r>
        <w:fldChar w:fldCharType="separate"/>
      </w:r>
      <w:r>
        <w:rPr>
          <w:rStyle w:val="14"/>
          <w:rFonts w:hint="eastAsia" w:ascii="新宋体" w:hAnsi="新宋体" w:eastAsia="新宋体" w:cs="新宋体"/>
        </w:rPr>
        <w:t>第一部分 部门概况</w:t>
      </w:r>
      <w:r>
        <w:rPr>
          <w:rFonts w:hint="eastAsia" w:ascii="新宋体" w:hAnsi="新宋体" w:eastAsia="新宋体" w:cs="新宋体"/>
        </w:rPr>
        <w:tab/>
      </w:r>
      <w:r>
        <w:rPr>
          <w:rFonts w:hint="eastAsia" w:ascii="新宋体" w:hAnsi="新宋体" w:eastAsia="新宋体" w:cs="新宋体"/>
        </w:rPr>
        <w:t>4</w:t>
      </w:r>
      <w:r>
        <w:rPr>
          <w:rFonts w:hint="eastAsia" w:ascii="新宋体" w:hAnsi="新宋体" w:eastAsia="新宋体" w:cs="新宋体"/>
        </w:rPr>
        <w:fldChar w:fldCharType="end"/>
      </w:r>
    </w:p>
    <w:p>
      <w:pPr>
        <w:pStyle w:val="9"/>
        <w:rPr>
          <w:rFonts w:ascii="新宋体" w:hAnsi="新宋体" w:eastAsia="新宋体" w:cs="新宋体"/>
          <w:sz w:val="28"/>
          <w:szCs w:val="28"/>
        </w:rPr>
      </w:pPr>
      <w:r>
        <w:fldChar w:fldCharType="begin"/>
      </w:r>
      <w:r>
        <w:instrText xml:space="preserve"> HYPERLINK \l "_Toc15396600" </w:instrText>
      </w:r>
      <w:r>
        <w:fldChar w:fldCharType="separate"/>
      </w:r>
      <w:r>
        <w:rPr>
          <w:rStyle w:val="14"/>
          <w:rFonts w:hint="eastAsia" w:ascii="新宋体" w:hAnsi="新宋体" w:eastAsia="新宋体" w:cs="新宋体"/>
          <w:sz w:val="28"/>
          <w:szCs w:val="28"/>
        </w:rPr>
        <w:t>一、基本职能及主要工作</w:t>
      </w:r>
      <w:r>
        <w:rPr>
          <w:rFonts w:hint="eastAsia" w:ascii="新宋体" w:hAnsi="新宋体" w:eastAsia="新宋体" w:cs="新宋体"/>
          <w:sz w:val="28"/>
          <w:szCs w:val="28"/>
        </w:rPr>
        <w:tab/>
      </w:r>
      <w:r>
        <w:rPr>
          <w:rFonts w:hint="eastAsia" w:ascii="新宋体" w:hAnsi="新宋体" w:eastAsia="新宋体" w:cs="新宋体"/>
          <w:sz w:val="28"/>
          <w:szCs w:val="28"/>
        </w:rPr>
        <w:t>4</w:t>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"_Toc15396601" </w:instrText>
      </w:r>
      <w:r>
        <w:fldChar w:fldCharType="separate"/>
      </w:r>
      <w:r>
        <w:rPr>
          <w:rStyle w:val="14"/>
          <w:rFonts w:hint="eastAsia" w:ascii="新宋体" w:hAnsi="新宋体" w:eastAsia="新宋体" w:cs="新宋体"/>
          <w:sz w:val="28"/>
          <w:szCs w:val="28"/>
        </w:rPr>
        <w:t>二、机构设置</w:t>
      </w:r>
      <w:r>
        <w:rPr>
          <w:rFonts w:hint="eastAsia" w:ascii="新宋体" w:hAnsi="新宋体" w:eastAsia="新宋体" w:cs="新宋体"/>
          <w:sz w:val="28"/>
          <w:szCs w:val="28"/>
        </w:rPr>
        <w:tab/>
      </w:r>
      <w:r>
        <w:rPr>
          <w:rFonts w:hint="eastAsia" w:ascii="新宋体" w:hAnsi="新宋体" w:eastAsia="新宋体" w:cs="新宋体"/>
          <w:sz w:val="28"/>
          <w:szCs w:val="28"/>
        </w:rPr>
        <w:t>5</w:t>
      </w:r>
      <w:r>
        <w:rPr>
          <w:rFonts w:hint="eastAsia" w:ascii="新宋体" w:hAnsi="新宋体" w:eastAsia="新宋体" w:cs="新宋体"/>
          <w:sz w:val="28"/>
          <w:szCs w:val="28"/>
        </w:rPr>
        <w:fldChar w:fldCharType="end"/>
      </w:r>
    </w:p>
    <w:p>
      <w:pPr>
        <w:pStyle w:val="8"/>
        <w:rPr>
          <w:rFonts w:ascii="新宋体" w:hAnsi="新宋体" w:eastAsia="新宋体" w:cs="新宋体"/>
        </w:rPr>
      </w:pPr>
      <w:r>
        <w:fldChar w:fldCharType="begin"/>
      </w:r>
      <w:r>
        <w:instrText xml:space="preserve"> HYPERLINK \l "_Toc15396602" </w:instrText>
      </w:r>
      <w:r>
        <w:fldChar w:fldCharType="separate"/>
      </w:r>
      <w:r>
        <w:rPr>
          <w:rStyle w:val="14"/>
          <w:rFonts w:hint="eastAsia" w:ascii="新宋体" w:hAnsi="新宋体" w:eastAsia="新宋体" w:cs="新宋体"/>
        </w:rPr>
        <w:t>第二部分 2019年度部门决算情况说明</w:t>
      </w:r>
      <w:r>
        <w:rPr>
          <w:rFonts w:hint="eastAsia" w:ascii="新宋体" w:hAnsi="新宋体" w:eastAsia="新宋体" w:cs="新宋体"/>
        </w:rPr>
        <w:tab/>
      </w:r>
      <w:r>
        <w:rPr>
          <w:rFonts w:hint="eastAsia" w:ascii="新宋体" w:hAnsi="新宋体" w:eastAsia="新宋体" w:cs="新宋体"/>
        </w:rPr>
        <w:t>6</w:t>
      </w:r>
      <w:r>
        <w:rPr>
          <w:rFonts w:hint="eastAsia" w:ascii="新宋体" w:hAnsi="新宋体" w:eastAsia="新宋体" w:cs="新宋体"/>
        </w:rPr>
        <w:fldChar w:fldCharType="end"/>
      </w:r>
    </w:p>
    <w:p>
      <w:pPr>
        <w:pStyle w:val="9"/>
        <w:rPr>
          <w:rFonts w:ascii="新宋体" w:hAnsi="新宋体" w:eastAsia="新宋体" w:cs="新宋体"/>
          <w:sz w:val="28"/>
          <w:szCs w:val="28"/>
        </w:rPr>
      </w:pPr>
      <w:r>
        <w:fldChar w:fldCharType="begin"/>
      </w:r>
      <w:r>
        <w:instrText xml:space="preserve"> HYPERLINK \l "_Toc15396603" </w:instrText>
      </w:r>
      <w:r>
        <w:fldChar w:fldCharType="separate"/>
      </w:r>
      <w:r>
        <w:rPr>
          <w:rStyle w:val="14"/>
          <w:rFonts w:hint="eastAsia" w:ascii="新宋体" w:hAnsi="新宋体" w:eastAsia="新宋体" w:cs="新宋体"/>
          <w:bCs/>
          <w:sz w:val="28"/>
          <w:szCs w:val="28"/>
        </w:rPr>
        <w:t>一、</w:t>
      </w:r>
      <w:r>
        <w:rPr>
          <w:rStyle w:val="14"/>
          <w:rFonts w:hint="eastAsia" w:ascii="新宋体" w:hAnsi="新宋体" w:eastAsia="新宋体" w:cs="新宋体"/>
          <w:sz w:val="28"/>
          <w:szCs w:val="28"/>
        </w:rPr>
        <w:t>收</w:t>
      </w:r>
      <w:r>
        <w:rPr>
          <w:rStyle w:val="14"/>
          <w:rFonts w:hint="eastAsia" w:ascii="新宋体" w:hAnsi="新宋体" w:eastAsia="新宋体" w:cs="新宋体"/>
          <w:bCs/>
          <w:sz w:val="28"/>
          <w:szCs w:val="28"/>
        </w:rPr>
        <w:t>入支出决算总体情况说明</w:t>
      </w:r>
      <w:r>
        <w:rPr>
          <w:rFonts w:hint="eastAsia" w:ascii="新宋体" w:hAnsi="新宋体" w:eastAsia="新宋体" w:cs="新宋体"/>
          <w:sz w:val="28"/>
          <w:szCs w:val="28"/>
        </w:rPr>
        <w:tab/>
      </w:r>
      <w:r>
        <w:rPr>
          <w:rFonts w:hint="eastAsia" w:ascii="新宋体" w:hAnsi="新宋体" w:eastAsia="新宋体" w:cs="新宋体"/>
          <w:sz w:val="28"/>
          <w:szCs w:val="28"/>
        </w:rPr>
        <w:t>6</w:t>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"_Toc15396604" </w:instrText>
      </w:r>
      <w:r>
        <w:fldChar w:fldCharType="separate"/>
      </w:r>
      <w:r>
        <w:rPr>
          <w:rStyle w:val="14"/>
          <w:rFonts w:hint="eastAsia" w:ascii="新宋体" w:hAnsi="新宋体" w:eastAsia="新宋体" w:cs="新宋体"/>
          <w:bCs/>
          <w:sz w:val="28"/>
          <w:szCs w:val="28"/>
        </w:rPr>
        <w:t>二、</w:t>
      </w:r>
      <w:r>
        <w:rPr>
          <w:rStyle w:val="14"/>
          <w:rFonts w:hint="eastAsia" w:ascii="新宋体" w:hAnsi="新宋体" w:eastAsia="新宋体" w:cs="新宋体"/>
          <w:sz w:val="28"/>
          <w:szCs w:val="28"/>
        </w:rPr>
        <w:t>收</w:t>
      </w:r>
      <w:r>
        <w:rPr>
          <w:rStyle w:val="14"/>
          <w:rFonts w:hint="eastAsia" w:ascii="新宋体" w:hAnsi="新宋体" w:eastAsia="新宋体" w:cs="新宋体"/>
          <w:bCs/>
          <w:sz w:val="28"/>
          <w:szCs w:val="28"/>
        </w:rPr>
        <w:t>入决算情况说明</w:t>
      </w:r>
      <w:r>
        <w:rPr>
          <w:rFonts w:hint="eastAsia" w:ascii="新宋体" w:hAnsi="新宋体" w:eastAsia="新宋体" w:cs="新宋体"/>
          <w:sz w:val="28"/>
          <w:szCs w:val="28"/>
        </w:rPr>
        <w:tab/>
      </w:r>
      <w:r>
        <w:rPr>
          <w:rFonts w:hint="eastAsia" w:ascii="新宋体" w:hAnsi="新宋体" w:eastAsia="新宋体" w:cs="新宋体"/>
          <w:sz w:val="28"/>
          <w:szCs w:val="28"/>
        </w:rPr>
        <w:t>6</w:t>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"_Toc15396605" </w:instrText>
      </w:r>
      <w:r>
        <w:fldChar w:fldCharType="separate"/>
      </w:r>
      <w:r>
        <w:rPr>
          <w:rStyle w:val="14"/>
          <w:rFonts w:hint="eastAsia" w:ascii="新宋体" w:hAnsi="新宋体" w:eastAsia="新宋体" w:cs="新宋体"/>
          <w:bCs/>
          <w:sz w:val="28"/>
          <w:szCs w:val="28"/>
        </w:rPr>
        <w:t>三、</w:t>
      </w:r>
      <w:r>
        <w:rPr>
          <w:rStyle w:val="14"/>
          <w:rFonts w:hint="eastAsia" w:ascii="新宋体" w:hAnsi="新宋体" w:eastAsia="新宋体" w:cs="新宋体"/>
          <w:sz w:val="28"/>
          <w:szCs w:val="28"/>
        </w:rPr>
        <w:t>支</w:t>
      </w:r>
      <w:r>
        <w:rPr>
          <w:rStyle w:val="14"/>
          <w:rFonts w:hint="eastAsia" w:ascii="新宋体" w:hAnsi="新宋体" w:eastAsia="新宋体" w:cs="新宋体"/>
          <w:bCs/>
          <w:sz w:val="28"/>
          <w:szCs w:val="28"/>
        </w:rPr>
        <w:t>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t>7</w:t>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"_Toc15396606" </w:instrText>
      </w:r>
      <w:r>
        <w:fldChar w:fldCharType="separate"/>
      </w:r>
      <w:r>
        <w:rPr>
          <w:rStyle w:val="14"/>
          <w:rFonts w:hint="eastAsia" w:ascii="新宋体" w:hAnsi="新宋体" w:eastAsia="新宋体" w:cs="新宋体"/>
          <w:sz w:val="28"/>
          <w:szCs w:val="28"/>
        </w:rPr>
        <w:t>四、财</w:t>
      </w:r>
      <w:r>
        <w:rPr>
          <w:rStyle w:val="14"/>
          <w:rFonts w:hint="eastAsia" w:ascii="新宋体" w:hAnsi="新宋体" w:eastAsia="新宋体" w:cs="新宋体"/>
          <w:bCs/>
          <w:sz w:val="28"/>
          <w:szCs w:val="28"/>
        </w:rPr>
        <w:t>政拨款收入支出决算总体情况说明</w:t>
      </w:r>
      <w:r>
        <w:rPr>
          <w:rFonts w:hint="eastAsia" w:ascii="新宋体" w:hAnsi="新宋体" w:eastAsia="新宋体" w:cs="新宋体"/>
          <w:sz w:val="28"/>
          <w:szCs w:val="28"/>
        </w:rPr>
        <w:tab/>
      </w:r>
      <w:r>
        <w:rPr>
          <w:rFonts w:hint="eastAsia" w:ascii="新宋体" w:hAnsi="新宋体" w:eastAsia="新宋体" w:cs="新宋体"/>
          <w:sz w:val="28"/>
          <w:szCs w:val="28"/>
        </w:rPr>
        <w:t>8</w:t>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"_Toc15396607" </w:instrText>
      </w:r>
      <w:r>
        <w:fldChar w:fldCharType="separate"/>
      </w:r>
      <w:r>
        <w:rPr>
          <w:rStyle w:val="14"/>
          <w:rFonts w:hint="eastAsia" w:ascii="新宋体" w:hAnsi="新宋体" w:eastAsia="新宋体" w:cs="新宋体"/>
          <w:sz w:val="28"/>
          <w:szCs w:val="28"/>
        </w:rPr>
        <w:t>五、一</w:t>
      </w:r>
      <w:r>
        <w:rPr>
          <w:rStyle w:val="14"/>
          <w:rFonts w:hint="eastAsia" w:ascii="新宋体" w:hAnsi="新宋体" w:eastAsia="新宋体" w:cs="新宋体"/>
          <w:bCs/>
          <w:sz w:val="28"/>
          <w:szCs w:val="28"/>
        </w:rPr>
        <w:t>般公共预算财政拨款支出决算情况说明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t>9</w:t>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"_Toc15396608" </w:instrText>
      </w:r>
      <w:r>
        <w:fldChar w:fldCharType="separate"/>
      </w:r>
      <w:r>
        <w:rPr>
          <w:rStyle w:val="14"/>
          <w:rFonts w:hint="eastAsia" w:ascii="新宋体" w:hAnsi="新宋体" w:eastAsia="新宋体" w:cs="新宋体"/>
          <w:sz w:val="28"/>
          <w:szCs w:val="28"/>
        </w:rPr>
        <w:t>六、一</w:t>
      </w:r>
      <w:r>
        <w:rPr>
          <w:rStyle w:val="14"/>
          <w:rFonts w:hint="eastAsia" w:ascii="新宋体" w:hAnsi="新宋体" w:eastAsia="新宋体" w:cs="新宋体"/>
          <w:bCs/>
          <w:sz w:val="28"/>
          <w:szCs w:val="28"/>
        </w:rPr>
        <w:t>般公共预算财政拨款基本支出决算情况说明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t>1</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4</w:t>
      </w:r>
    </w:p>
    <w:p>
      <w:pPr>
        <w:pStyle w:val="9"/>
        <w:rPr>
          <w:rFonts w:ascii="新宋体" w:hAnsi="新宋体" w:eastAsia="新宋体" w:cs="新宋体"/>
          <w:sz w:val="28"/>
          <w:szCs w:val="28"/>
        </w:rPr>
      </w:pPr>
      <w:r>
        <w:fldChar w:fldCharType="begin"/>
      </w:r>
      <w:r>
        <w:instrText xml:space="preserve"> HYPERLINK \l "_Toc15396609" </w:instrText>
      </w:r>
      <w:r>
        <w:fldChar w:fldCharType="separate"/>
      </w:r>
      <w:r>
        <w:rPr>
          <w:rStyle w:val="14"/>
          <w:rFonts w:hint="eastAsia" w:ascii="新宋体" w:hAnsi="新宋体" w:eastAsia="新宋体" w:cs="新宋体"/>
          <w:sz w:val="28"/>
          <w:szCs w:val="28"/>
        </w:rPr>
        <w:t>七、“</w:t>
      </w:r>
      <w:r>
        <w:rPr>
          <w:rStyle w:val="14"/>
          <w:rFonts w:hint="eastAsia" w:ascii="新宋体" w:hAnsi="新宋体" w:eastAsia="新宋体" w:cs="新宋体"/>
          <w:bCs/>
          <w:sz w:val="28"/>
          <w:szCs w:val="28"/>
        </w:rPr>
        <w:t>三公”经费财政拨款支出决算情况说明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t>1</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4</w:t>
      </w:r>
    </w:p>
    <w:p>
      <w:pPr>
        <w:pStyle w:val="9"/>
        <w:rPr>
          <w:rFonts w:ascii="新宋体" w:hAnsi="新宋体" w:eastAsia="新宋体" w:cs="新宋体"/>
          <w:sz w:val="28"/>
          <w:szCs w:val="28"/>
        </w:rPr>
      </w:pPr>
      <w:r>
        <w:fldChar w:fldCharType="begin"/>
      </w:r>
      <w:r>
        <w:instrText xml:space="preserve"> HYPERLINK \l "_Toc15396610" </w:instrText>
      </w:r>
      <w:r>
        <w:fldChar w:fldCharType="separate"/>
      </w:r>
      <w:r>
        <w:rPr>
          <w:rStyle w:val="14"/>
          <w:rFonts w:hint="eastAsia" w:ascii="新宋体" w:hAnsi="新宋体" w:eastAsia="新宋体" w:cs="新宋体"/>
          <w:sz w:val="28"/>
          <w:szCs w:val="28"/>
        </w:rPr>
        <w:t>八、</w:t>
      </w:r>
      <w:r>
        <w:rPr>
          <w:rStyle w:val="14"/>
          <w:rFonts w:hint="eastAsia" w:ascii="新宋体" w:hAnsi="新宋体" w:eastAsia="新宋体" w:cs="新宋体"/>
          <w:bCs/>
          <w:sz w:val="28"/>
          <w:szCs w:val="28"/>
        </w:rPr>
        <w:t>政府性基金预算支出决算情况说明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_Toc15396610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16</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pStyle w:val="9"/>
        <w:rPr>
          <w:rFonts w:ascii="新宋体" w:hAnsi="新宋体" w:eastAsia="新宋体" w:cs="新宋体"/>
          <w:sz w:val="28"/>
          <w:szCs w:val="28"/>
        </w:rPr>
      </w:pPr>
      <w:r>
        <w:fldChar w:fldCharType="begin"/>
      </w:r>
      <w:r>
        <w:instrText xml:space="preserve"> HYPERLINK \l "_Toc15396611" </w:instrText>
      </w:r>
      <w:r>
        <w:fldChar w:fldCharType="separate"/>
      </w:r>
      <w:r>
        <w:rPr>
          <w:rStyle w:val="14"/>
          <w:rFonts w:hint="eastAsia" w:ascii="新宋体" w:hAnsi="新宋体" w:eastAsia="新宋体" w:cs="新宋体"/>
          <w:bCs/>
          <w:sz w:val="28"/>
          <w:szCs w:val="28"/>
        </w:rPr>
        <w:t>九、</w:t>
      </w:r>
      <w:r>
        <w:rPr>
          <w:rStyle w:val="14"/>
          <w:rFonts w:hint="eastAsia" w:ascii="新宋体" w:hAnsi="新宋体" w:eastAsia="新宋体" w:cs="新宋体"/>
          <w:sz w:val="28"/>
          <w:szCs w:val="28"/>
        </w:rPr>
        <w:t xml:space="preserve"> 国</w:t>
      </w:r>
      <w:r>
        <w:rPr>
          <w:rStyle w:val="14"/>
          <w:rFonts w:hint="eastAsia" w:ascii="新宋体" w:hAnsi="新宋体" w:eastAsia="新宋体" w:cs="新宋体"/>
          <w:bCs/>
          <w:sz w:val="28"/>
          <w:szCs w:val="28"/>
        </w:rPr>
        <w:t>有资本经营预算支出决算情况说明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_Toc15396611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16</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rPr>
          <w:rFonts w:ascii="新宋体" w:hAnsi="新宋体" w:eastAsia="新宋体" w:cs="新宋体"/>
          <w:sz w:val="28"/>
          <w:szCs w:val="28"/>
        </w:rPr>
      </w:pPr>
      <w:r>
        <w:rPr>
          <w:rFonts w:hint="eastAsia" w:ascii="新宋体" w:hAnsi="新宋体" w:eastAsia="新宋体" w:cs="新宋体"/>
          <w:sz w:val="28"/>
          <w:szCs w:val="28"/>
        </w:rPr>
        <w:t xml:space="preserve">    十、预算绩效情况说明……………………………………………16</w:t>
      </w:r>
    </w:p>
    <w:p>
      <w:pPr>
        <w:pStyle w:val="9"/>
        <w:rPr>
          <w:rFonts w:ascii="新宋体" w:hAnsi="新宋体" w:eastAsia="新宋体" w:cs="新宋体"/>
          <w:sz w:val="28"/>
          <w:szCs w:val="28"/>
        </w:rPr>
      </w:pPr>
      <w:r>
        <w:fldChar w:fldCharType="begin"/>
      </w:r>
      <w:r>
        <w:instrText xml:space="preserve"> HYPERLINK \l "_Toc15396612" </w:instrText>
      </w:r>
      <w:r>
        <w:fldChar w:fldCharType="separate"/>
      </w:r>
      <w:r>
        <w:rPr>
          <w:rStyle w:val="14"/>
          <w:rFonts w:hint="eastAsia" w:ascii="新宋体" w:hAnsi="新宋体" w:eastAsia="新宋体" w:cs="新宋体"/>
          <w:sz w:val="28"/>
          <w:szCs w:val="28"/>
        </w:rPr>
        <w:t>十</w:t>
      </w:r>
      <w:r>
        <w:rPr>
          <w:rStyle w:val="14"/>
          <w:rFonts w:hint="eastAsia" w:ascii="新宋体" w:hAnsi="新宋体" w:eastAsia="新宋体" w:cs="新宋体"/>
          <w:bCs/>
          <w:sz w:val="28"/>
          <w:szCs w:val="28"/>
        </w:rPr>
        <w:t>一、其他重要事项的情况说明</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_Toc15396612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22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pStyle w:val="8"/>
        <w:rPr>
          <w:rFonts w:ascii="新宋体" w:hAnsi="新宋体" w:eastAsia="新宋体" w:cs="新宋体"/>
        </w:rPr>
      </w:pPr>
      <w:r>
        <w:fldChar w:fldCharType="begin"/>
      </w:r>
      <w:r>
        <w:instrText xml:space="preserve"> HYPERLINK \l "_Toc15396613" </w:instrText>
      </w:r>
      <w:r>
        <w:fldChar w:fldCharType="separate"/>
      </w:r>
      <w:r>
        <w:rPr>
          <w:rStyle w:val="14"/>
          <w:rFonts w:hint="eastAsia" w:ascii="新宋体" w:hAnsi="新宋体" w:eastAsia="新宋体" w:cs="新宋体"/>
          <w:bCs/>
          <w:kern w:val="44"/>
        </w:rPr>
        <w:t>第三部分</w:t>
      </w:r>
      <w:r>
        <w:rPr>
          <w:rStyle w:val="14"/>
          <w:rFonts w:hint="eastAsia" w:ascii="新宋体" w:hAnsi="新宋体" w:eastAsia="新宋体" w:cs="新宋体"/>
        </w:rPr>
        <w:t xml:space="preserve"> 名</w:t>
      </w:r>
      <w:r>
        <w:rPr>
          <w:rStyle w:val="14"/>
          <w:rFonts w:hint="eastAsia" w:ascii="新宋体" w:hAnsi="新宋体" w:eastAsia="新宋体" w:cs="新宋体"/>
          <w:bCs/>
          <w:kern w:val="44"/>
        </w:rPr>
        <w:t>词解释</w:t>
      </w:r>
      <w:r>
        <w:rPr>
          <w:rFonts w:hint="eastAsia" w:ascii="新宋体" w:hAnsi="新宋体" w:eastAsia="新宋体" w:cs="新宋体"/>
        </w:rPr>
        <w:tab/>
      </w:r>
      <w:r>
        <w:rPr>
          <w:rFonts w:hint="eastAsia" w:ascii="新宋体" w:hAnsi="新宋体" w:eastAsia="新宋体" w:cs="新宋体"/>
        </w:rPr>
        <w:fldChar w:fldCharType="begin"/>
      </w:r>
      <w:r>
        <w:rPr>
          <w:rFonts w:hint="eastAsia" w:ascii="新宋体" w:hAnsi="新宋体" w:eastAsia="新宋体" w:cs="新宋体"/>
        </w:rPr>
        <w:instrText xml:space="preserve"> PAGEREF _Toc15396613 \h </w:instrText>
      </w:r>
      <w:r>
        <w:rPr>
          <w:rFonts w:hint="eastAsia" w:ascii="新宋体" w:hAnsi="新宋体" w:eastAsia="新宋体" w:cs="新宋体"/>
        </w:rPr>
        <w:fldChar w:fldCharType="separate"/>
      </w:r>
      <w:r>
        <w:rPr>
          <w:rFonts w:hint="eastAsia" w:ascii="新宋体" w:hAnsi="新宋体" w:eastAsia="新宋体" w:cs="新宋体"/>
        </w:rPr>
        <w:t>23</w:t>
      </w:r>
      <w:r>
        <w:rPr>
          <w:rFonts w:hint="eastAsia" w:ascii="新宋体" w:hAnsi="新宋体" w:eastAsia="新宋体" w:cs="新宋体"/>
        </w:rPr>
        <w:fldChar w:fldCharType="end"/>
      </w:r>
      <w:r>
        <w:rPr>
          <w:rFonts w:hint="eastAsia" w:ascii="新宋体" w:hAnsi="新宋体" w:eastAsia="新宋体" w:cs="新宋体"/>
        </w:rPr>
        <w:fldChar w:fldCharType="end"/>
      </w:r>
    </w:p>
    <w:p>
      <w:pPr>
        <w:pStyle w:val="8"/>
        <w:rPr>
          <w:rFonts w:ascii="新宋体" w:hAnsi="新宋体" w:eastAsia="新宋体" w:cs="新宋体"/>
        </w:rPr>
      </w:pPr>
      <w:r>
        <w:fldChar w:fldCharType="begin"/>
      </w:r>
      <w:r>
        <w:instrText xml:space="preserve"> HYPERLINK \l "_Toc15396614" </w:instrText>
      </w:r>
      <w:r>
        <w:fldChar w:fldCharType="separate"/>
      </w:r>
      <w:r>
        <w:rPr>
          <w:rStyle w:val="14"/>
          <w:rFonts w:hint="eastAsia" w:ascii="新宋体" w:hAnsi="新宋体" w:eastAsia="新宋体" w:cs="新宋体"/>
        </w:rPr>
        <w:t>第</w:t>
      </w:r>
      <w:r>
        <w:rPr>
          <w:rStyle w:val="14"/>
          <w:rFonts w:hint="eastAsia" w:ascii="新宋体" w:hAnsi="新宋体" w:eastAsia="新宋体" w:cs="新宋体"/>
          <w:bCs/>
          <w:kern w:val="44"/>
        </w:rPr>
        <w:t>四部分 附件</w:t>
      </w:r>
      <w:r>
        <w:rPr>
          <w:rFonts w:hint="eastAsia" w:ascii="新宋体" w:hAnsi="新宋体" w:eastAsia="新宋体" w:cs="新宋体"/>
        </w:rPr>
        <w:tab/>
      </w:r>
      <w:r>
        <w:rPr>
          <w:rFonts w:hint="eastAsia" w:ascii="新宋体" w:hAnsi="新宋体" w:eastAsia="新宋体" w:cs="新宋体"/>
        </w:rPr>
        <w:t>2</w:t>
      </w:r>
      <w:r>
        <w:rPr>
          <w:rFonts w:hint="eastAsia" w:ascii="新宋体" w:hAnsi="新宋体" w:eastAsia="新宋体" w:cs="新宋体"/>
        </w:rPr>
        <w:fldChar w:fldCharType="end"/>
      </w:r>
      <w:r>
        <w:rPr>
          <w:rFonts w:hint="eastAsia" w:ascii="新宋体" w:hAnsi="新宋体" w:eastAsia="新宋体" w:cs="新宋体"/>
        </w:rPr>
        <w:t>6</w:t>
      </w:r>
    </w:p>
    <w:p>
      <w:pPr>
        <w:pStyle w:val="9"/>
        <w:rPr>
          <w:rFonts w:ascii="新宋体" w:hAnsi="新宋体" w:eastAsia="新宋体" w:cs="新宋体"/>
          <w:sz w:val="28"/>
          <w:szCs w:val="28"/>
        </w:rPr>
      </w:pPr>
      <w:r>
        <w:fldChar w:fldCharType="begin"/>
      </w:r>
      <w:r>
        <w:instrText xml:space="preserve"> HYPERLINK \l "_Toc15396615" </w:instrText>
      </w:r>
      <w:r>
        <w:fldChar w:fldCharType="separate"/>
      </w:r>
      <w:r>
        <w:rPr>
          <w:rStyle w:val="14"/>
          <w:rFonts w:hint="eastAsia" w:ascii="新宋体" w:hAnsi="新宋体" w:eastAsia="新宋体" w:cs="新宋体"/>
          <w:kern w:val="44"/>
          <w:sz w:val="28"/>
          <w:szCs w:val="28"/>
        </w:rPr>
        <w:t>附件1</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6</w:t>
      </w:r>
    </w:p>
    <w:p>
      <w:pPr>
        <w:pStyle w:val="9"/>
        <w:rPr>
          <w:rFonts w:ascii="新宋体" w:hAnsi="新宋体" w:eastAsia="新宋体" w:cs="新宋体"/>
          <w:sz w:val="28"/>
          <w:szCs w:val="28"/>
        </w:rPr>
      </w:pPr>
      <w:r>
        <w:fldChar w:fldCharType="begin"/>
      </w:r>
      <w:r>
        <w:instrText xml:space="preserve"> HYPERLINK \l "_Toc15396617" </w:instrText>
      </w:r>
      <w:r>
        <w:fldChar w:fldCharType="separate"/>
      </w:r>
      <w:r>
        <w:rPr>
          <w:rStyle w:val="14"/>
          <w:rFonts w:hint="eastAsia" w:ascii="新宋体" w:hAnsi="新宋体" w:eastAsia="新宋体" w:cs="新宋体"/>
          <w:kern w:val="44"/>
          <w:sz w:val="28"/>
          <w:szCs w:val="28"/>
        </w:rPr>
        <w:t>附件2</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_Toc15396617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28</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pStyle w:val="8"/>
        <w:rPr>
          <w:rFonts w:ascii="新宋体" w:hAnsi="新宋体" w:eastAsia="新宋体" w:cs="新宋体"/>
        </w:rPr>
      </w:pPr>
      <w:r>
        <w:fldChar w:fldCharType="begin"/>
      </w:r>
      <w:r>
        <w:instrText xml:space="preserve"> HYPERLINK \l "_Toc15396618" </w:instrText>
      </w:r>
      <w:r>
        <w:fldChar w:fldCharType="separate"/>
      </w:r>
      <w:r>
        <w:rPr>
          <w:rStyle w:val="14"/>
          <w:rFonts w:hint="eastAsia" w:ascii="新宋体" w:hAnsi="新宋体" w:eastAsia="新宋体" w:cs="新宋体"/>
        </w:rPr>
        <w:t>第</w:t>
      </w:r>
      <w:r>
        <w:rPr>
          <w:rStyle w:val="14"/>
          <w:rFonts w:hint="eastAsia" w:ascii="新宋体" w:hAnsi="新宋体" w:eastAsia="新宋体" w:cs="新宋体"/>
          <w:bCs/>
          <w:kern w:val="44"/>
        </w:rPr>
        <w:t>五部分 附表</w:t>
      </w:r>
      <w:r>
        <w:rPr>
          <w:rFonts w:hint="eastAsia" w:ascii="新宋体" w:hAnsi="新宋体" w:eastAsia="新宋体" w:cs="新宋体"/>
        </w:rPr>
        <w:tab/>
      </w:r>
      <w:r>
        <w:rPr>
          <w:rFonts w:hint="eastAsia" w:ascii="新宋体" w:hAnsi="新宋体" w:eastAsia="新宋体" w:cs="新宋体"/>
        </w:rPr>
        <w:fldChar w:fldCharType="begin"/>
      </w:r>
      <w:r>
        <w:rPr>
          <w:rFonts w:hint="eastAsia" w:ascii="新宋体" w:hAnsi="新宋体" w:eastAsia="新宋体" w:cs="新宋体"/>
        </w:rPr>
        <w:instrText xml:space="preserve"> PAGEREF _Toc15396618 \h </w:instrText>
      </w:r>
      <w:r>
        <w:rPr>
          <w:rFonts w:hint="eastAsia" w:ascii="新宋体" w:hAnsi="新宋体" w:eastAsia="新宋体" w:cs="新宋体"/>
        </w:rPr>
        <w:fldChar w:fldCharType="separate"/>
      </w:r>
      <w:r>
        <w:rPr>
          <w:rFonts w:hint="eastAsia" w:ascii="新宋体" w:hAnsi="新宋体" w:eastAsia="新宋体" w:cs="新宋体"/>
        </w:rPr>
        <w:t>29</w:t>
      </w:r>
      <w:r>
        <w:rPr>
          <w:rFonts w:hint="eastAsia" w:ascii="新宋体" w:hAnsi="新宋体" w:eastAsia="新宋体" w:cs="新宋体"/>
        </w:rPr>
        <w:fldChar w:fldCharType="end"/>
      </w:r>
      <w:r>
        <w:rPr>
          <w:rFonts w:hint="eastAsia" w:ascii="新宋体" w:hAnsi="新宋体" w:eastAsia="新宋体" w:cs="新宋体"/>
        </w:rPr>
        <w:fldChar w:fldCharType="end"/>
      </w:r>
    </w:p>
    <w:p>
      <w:pPr>
        <w:pStyle w:val="9"/>
        <w:rPr>
          <w:rFonts w:ascii="新宋体" w:hAnsi="新宋体" w:eastAsia="新宋体" w:cs="新宋体"/>
          <w:sz w:val="28"/>
          <w:szCs w:val="28"/>
        </w:rPr>
      </w:pPr>
      <w:r>
        <w:rPr>
          <w:rFonts w:hint="eastAsia" w:ascii="新宋体" w:hAnsi="新宋体" w:eastAsia="新宋体" w:cs="新宋体"/>
          <w:sz w:val="28"/>
          <w:szCs w:val="28"/>
        </w:rPr>
        <w:t>一、</w:t>
      </w:r>
      <w:r>
        <w:fldChar w:fldCharType="begin"/>
      </w:r>
      <w:r>
        <w:instrText xml:space="preserve"> HYPERLINK \l "_Toc15396619" </w:instrText>
      </w:r>
      <w:r>
        <w:fldChar w:fldCharType="separate"/>
      </w:r>
      <w:r>
        <w:rPr>
          <w:rStyle w:val="14"/>
          <w:rFonts w:hint="eastAsia" w:ascii="新宋体" w:hAnsi="新宋体" w:eastAsia="新宋体" w:cs="新宋体"/>
          <w:sz w:val="28"/>
          <w:szCs w:val="28"/>
        </w:rPr>
        <w:t>收入支出决算总表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29</w:t>
      </w:r>
    </w:p>
    <w:p>
      <w:pPr>
        <w:pStyle w:val="9"/>
        <w:rPr>
          <w:rFonts w:ascii="新宋体" w:hAnsi="新宋体" w:eastAsia="新宋体" w:cs="新宋体"/>
          <w:sz w:val="28"/>
          <w:szCs w:val="28"/>
        </w:rPr>
      </w:pPr>
      <w:r>
        <w:rPr>
          <w:rFonts w:hint="eastAsia" w:ascii="新宋体" w:hAnsi="新宋体" w:eastAsia="新宋体" w:cs="新宋体"/>
          <w:sz w:val="28"/>
          <w:szCs w:val="28"/>
        </w:rPr>
        <w:t>二、</w:t>
      </w:r>
      <w:r>
        <w:fldChar w:fldCharType="begin"/>
      </w:r>
      <w:r>
        <w:instrText xml:space="preserve"> HYPERLINK \l "_Toc15396620" </w:instrText>
      </w:r>
      <w:r>
        <w:fldChar w:fldCharType="separate"/>
      </w:r>
      <w:r>
        <w:rPr>
          <w:rStyle w:val="14"/>
          <w:rFonts w:hint="eastAsia" w:ascii="新宋体" w:hAnsi="新宋体" w:eastAsia="新宋体" w:cs="新宋体"/>
          <w:sz w:val="28"/>
          <w:szCs w:val="28"/>
        </w:rPr>
        <w:t>收入总表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29</w:t>
      </w:r>
    </w:p>
    <w:p>
      <w:pPr>
        <w:pStyle w:val="9"/>
        <w:rPr>
          <w:rFonts w:ascii="新宋体" w:hAnsi="新宋体" w:eastAsia="新宋体" w:cs="新宋体"/>
          <w:sz w:val="28"/>
          <w:szCs w:val="28"/>
        </w:rPr>
      </w:pPr>
      <w:r>
        <w:rPr>
          <w:rFonts w:hint="eastAsia" w:ascii="新宋体" w:hAnsi="新宋体" w:eastAsia="新宋体" w:cs="新宋体"/>
          <w:sz w:val="28"/>
          <w:szCs w:val="28"/>
        </w:rPr>
        <w:t>三、</w:t>
      </w:r>
      <w:r>
        <w:fldChar w:fldCharType="begin"/>
      </w:r>
      <w:r>
        <w:instrText xml:space="preserve"> HYPERLINK \l "_Toc15396621" </w:instrText>
      </w:r>
      <w:r>
        <w:fldChar w:fldCharType="separate"/>
      </w:r>
      <w:r>
        <w:rPr>
          <w:rStyle w:val="14"/>
          <w:rFonts w:hint="eastAsia" w:ascii="新宋体" w:hAnsi="新宋体" w:eastAsia="新宋体" w:cs="新宋体"/>
          <w:sz w:val="28"/>
          <w:szCs w:val="28"/>
        </w:rPr>
        <w:t>支出总表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四、</w:t>
      </w:r>
      <w:r>
        <w:fldChar w:fldCharType="begin"/>
      </w:r>
      <w:r>
        <w:instrText xml:space="preserve"> HYPERLINK \l "_Toc15396622" </w:instrText>
      </w:r>
      <w:r>
        <w:fldChar w:fldCharType="separate"/>
      </w:r>
      <w:r>
        <w:rPr>
          <w:rStyle w:val="14"/>
          <w:rFonts w:hint="eastAsia" w:ascii="新宋体" w:hAnsi="新宋体" w:eastAsia="新宋体" w:cs="新宋体"/>
          <w:sz w:val="28"/>
          <w:szCs w:val="28"/>
        </w:rPr>
        <w:t>财政拨款收入支出决算总表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29</w:t>
      </w:r>
    </w:p>
    <w:p>
      <w:pPr>
        <w:pStyle w:val="9"/>
        <w:rPr>
          <w:rFonts w:ascii="新宋体" w:hAnsi="新宋体" w:eastAsia="新宋体" w:cs="新宋体"/>
          <w:sz w:val="28"/>
          <w:szCs w:val="28"/>
        </w:rPr>
      </w:pPr>
      <w:r>
        <w:rPr>
          <w:rFonts w:hint="eastAsia" w:ascii="新宋体" w:hAnsi="新宋体" w:eastAsia="新宋体" w:cs="新宋体"/>
          <w:sz w:val="28"/>
          <w:szCs w:val="28"/>
        </w:rPr>
        <w:t>五、</w:t>
      </w:r>
      <w:r>
        <w:fldChar w:fldCharType="begin"/>
      </w:r>
      <w:r>
        <w:instrText xml:space="preserve"> HYPERLINK \l "_Toc15396623" </w:instrText>
      </w:r>
      <w:r>
        <w:fldChar w:fldCharType="separate"/>
      </w:r>
      <w:r>
        <w:rPr>
          <w:rFonts w:hint="eastAsia" w:ascii="新宋体" w:hAnsi="新宋体" w:eastAsia="新宋体" w:cs="新宋体"/>
          <w:sz w:val="28"/>
          <w:szCs w:val="28"/>
        </w:rPr>
        <w:t>财政拨款支出决算明细表（政府经济分类科目）</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六、</w:t>
      </w:r>
      <w:r>
        <w:fldChar w:fldCharType="begin"/>
      </w:r>
      <w:r>
        <w:instrText xml:space="preserve"> HYPERLINK \l "_Toc15396624" </w:instrText>
      </w:r>
      <w:r>
        <w:fldChar w:fldCharType="separate"/>
      </w:r>
      <w:r>
        <w:rPr>
          <w:rStyle w:val="14"/>
          <w:rFonts w:hint="eastAsia" w:ascii="新宋体" w:hAnsi="新宋体" w:eastAsia="新宋体" w:cs="新宋体"/>
          <w:sz w:val="28"/>
          <w:szCs w:val="28"/>
        </w:rPr>
        <w:t>一般公共预算财政拨款支出决算表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七、</w:t>
      </w:r>
      <w:r>
        <w:fldChar w:fldCharType="begin"/>
      </w:r>
      <w:r>
        <w:instrText xml:space="preserve"> HYPERLINK \l "_Toc15396625" </w:instrText>
      </w:r>
      <w:r>
        <w:fldChar w:fldCharType="separate"/>
      </w:r>
      <w:r>
        <w:rPr>
          <w:rStyle w:val="14"/>
          <w:rFonts w:hint="eastAsia" w:ascii="新宋体" w:hAnsi="新宋体" w:eastAsia="新宋体" w:cs="新宋体"/>
          <w:sz w:val="28"/>
          <w:szCs w:val="28"/>
        </w:rPr>
        <w:t>一般公共预算财政拨款支出决算明细表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八、</w:t>
      </w:r>
      <w:r>
        <w:fldChar w:fldCharType="begin"/>
      </w:r>
      <w:r>
        <w:instrText xml:space="preserve"> HYPERLINK \l "_Toc15396626" </w:instrText>
      </w:r>
      <w:r>
        <w:fldChar w:fldCharType="separate"/>
      </w:r>
      <w:r>
        <w:rPr>
          <w:rStyle w:val="14"/>
          <w:rFonts w:hint="eastAsia" w:ascii="新宋体" w:hAnsi="新宋体" w:eastAsia="新宋体" w:cs="新宋体"/>
          <w:sz w:val="28"/>
          <w:szCs w:val="28"/>
        </w:rPr>
        <w:t>一般公共预算财政拨款基本支出决算表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九、</w:t>
      </w:r>
      <w:r>
        <w:fldChar w:fldCharType="begin"/>
      </w:r>
      <w:r>
        <w:instrText xml:space="preserve"> HYPERLINK \l "_Toc15396627" </w:instrText>
      </w:r>
      <w:r>
        <w:fldChar w:fldCharType="separate"/>
      </w:r>
      <w:r>
        <w:rPr>
          <w:rStyle w:val="14"/>
          <w:rFonts w:hint="eastAsia" w:ascii="新宋体" w:hAnsi="新宋体" w:eastAsia="新宋体" w:cs="新宋体"/>
          <w:sz w:val="28"/>
          <w:szCs w:val="28"/>
        </w:rPr>
        <w:t>一般公共预算财政拨款项目支出决算表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十、</w:t>
      </w:r>
      <w:r>
        <w:fldChar w:fldCharType="begin"/>
      </w:r>
      <w:r>
        <w:instrText xml:space="preserve"> HYPERLINK \l "_Toc15396628" </w:instrText>
      </w:r>
      <w:r>
        <w:fldChar w:fldCharType="separate"/>
      </w:r>
      <w:r>
        <w:rPr>
          <w:rStyle w:val="14"/>
          <w:rFonts w:hint="eastAsia" w:ascii="新宋体" w:hAnsi="新宋体" w:eastAsia="新宋体" w:cs="新宋体"/>
          <w:sz w:val="28"/>
          <w:szCs w:val="28"/>
        </w:rPr>
        <w:t>一般公共预算财政拨款“三公”经费支出决算表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十一、</w:t>
      </w:r>
      <w:r>
        <w:fldChar w:fldCharType="begin"/>
      </w:r>
      <w:r>
        <w:instrText xml:space="preserve"> HYPERLINK \l "_Toc15396629" </w:instrText>
      </w:r>
      <w:r>
        <w:fldChar w:fldCharType="separate"/>
      </w:r>
      <w:r>
        <w:rPr>
          <w:rStyle w:val="14"/>
          <w:rFonts w:hint="eastAsia" w:ascii="新宋体" w:hAnsi="新宋体" w:eastAsia="新宋体" w:cs="新宋体"/>
          <w:sz w:val="28"/>
          <w:szCs w:val="28"/>
        </w:rPr>
        <w:t>政府性基金预算财政拨款收入支出决算表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十二、</w:t>
      </w:r>
      <w:r>
        <w:fldChar w:fldCharType="begin"/>
      </w:r>
      <w:r>
        <w:instrText xml:space="preserve"> HYPERLINK \l "_Toc15396630" </w:instrText>
      </w:r>
      <w:r>
        <w:fldChar w:fldCharType="separate"/>
      </w:r>
      <w:r>
        <w:rPr>
          <w:rStyle w:val="14"/>
          <w:rFonts w:hint="eastAsia" w:ascii="新宋体" w:hAnsi="新宋体" w:eastAsia="新宋体" w:cs="新宋体"/>
          <w:sz w:val="28"/>
          <w:szCs w:val="28"/>
        </w:rPr>
        <w:t>政府性基金预算财政拨款“三公”经费支出决算表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pStyle w:val="9"/>
        <w:rPr>
          <w:rFonts w:ascii="新宋体" w:hAnsi="新宋体" w:eastAsia="新宋体" w:cs="新宋体"/>
          <w:sz w:val="28"/>
          <w:szCs w:val="28"/>
        </w:rPr>
      </w:pPr>
      <w:r>
        <w:rPr>
          <w:rFonts w:hint="eastAsia" w:ascii="新宋体" w:hAnsi="新宋体" w:eastAsia="新宋体" w:cs="新宋体"/>
          <w:sz w:val="28"/>
          <w:szCs w:val="28"/>
        </w:rPr>
        <w:t>十三、</w:t>
      </w:r>
      <w:r>
        <w:fldChar w:fldCharType="begin"/>
      </w:r>
      <w:r>
        <w:instrText xml:space="preserve"> HYPERLINK \l "_Toc15396631" </w:instrText>
      </w:r>
      <w:r>
        <w:fldChar w:fldCharType="separate"/>
      </w:r>
      <w:r>
        <w:rPr>
          <w:rStyle w:val="14"/>
          <w:rFonts w:hint="eastAsia" w:ascii="新宋体" w:hAnsi="新宋体" w:eastAsia="新宋体" w:cs="新宋体"/>
          <w:sz w:val="28"/>
          <w:szCs w:val="28"/>
        </w:rPr>
        <w:t>国有资本经营预算支出决算表</w:t>
      </w:r>
      <w:r>
        <w:rPr>
          <w:rFonts w:hint="eastAsia" w:ascii="新宋体" w:hAnsi="新宋体" w:eastAsia="新宋体" w:cs="新宋体"/>
          <w:sz w:val="28"/>
          <w:szCs w:val="28"/>
        </w:rPr>
        <w:tab/>
      </w:r>
      <w:r>
        <w:rPr>
          <w:rFonts w:hint="eastAsia" w:ascii="新宋体" w:hAnsi="新宋体" w:eastAsia="新宋体" w:cs="新宋体"/>
          <w:sz w:val="28"/>
          <w:szCs w:val="28"/>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9</w:t>
      </w:r>
    </w:p>
    <w:p>
      <w:pPr>
        <w:widowControl/>
        <w:jc w:val="left"/>
        <w:rPr>
          <w:rFonts w:ascii="新宋体" w:hAnsi="新宋体" w:eastAsia="新宋体" w:cs="新宋体"/>
          <w:color w:val="000000"/>
          <w:sz w:val="28"/>
          <w:szCs w:val="28"/>
        </w:rPr>
      </w:pPr>
      <w:r>
        <w:rPr>
          <w:rFonts w:hint="eastAsia" w:ascii="新宋体" w:hAnsi="新宋体" w:eastAsia="新宋体" w:cs="新宋体"/>
          <w:color w:val="000000"/>
          <w:sz w:val="28"/>
          <w:szCs w:val="28"/>
        </w:rPr>
        <w:fldChar w:fldCharType="end"/>
      </w:r>
    </w:p>
    <w:p>
      <w:pPr>
        <w:widowControl/>
        <w:jc w:val="left"/>
        <w:rPr>
          <w:rFonts w:ascii="新宋体" w:hAnsi="新宋体" w:eastAsia="新宋体" w:cs="新宋体"/>
          <w:bCs/>
          <w:kern w:val="44"/>
          <w:sz w:val="28"/>
          <w:szCs w:val="28"/>
        </w:rPr>
      </w:pPr>
      <w:bookmarkStart w:id="0" w:name="_Toc15396599"/>
      <w:bookmarkStart w:id="1" w:name="_Toc15377196"/>
      <w:r>
        <w:rPr>
          <w:rFonts w:hint="eastAsia" w:ascii="新宋体" w:hAnsi="新宋体" w:eastAsia="新宋体" w:cs="新宋体"/>
          <w:b/>
          <w:sz w:val="28"/>
          <w:szCs w:val="28"/>
        </w:rPr>
        <w:br w:type="page"/>
      </w:r>
    </w:p>
    <w:p>
      <w:pPr>
        <w:pStyle w:val="2"/>
        <w:jc w:val="center"/>
        <w:rPr>
          <w:rFonts w:ascii="黑体" w:eastAsia="黑体"/>
          <w:color w:val="000000"/>
          <w:sz w:val="32"/>
          <w:szCs w:val="32"/>
        </w:rPr>
      </w:pPr>
      <w:r>
        <w:rPr>
          <w:rFonts w:hint="eastAsia" w:ascii="黑体" w:hAnsi="黑体" w:eastAsia="黑体"/>
          <w:b w:val="0"/>
        </w:rPr>
        <w:t xml:space="preserve">第一部分 </w:t>
      </w:r>
      <w:r>
        <w:rPr>
          <w:rStyle w:val="20"/>
          <w:rFonts w:hint="eastAsia" w:ascii="黑体" w:hAnsi="黑体" w:eastAsia="黑体"/>
          <w:b w:val="0"/>
          <w:bCs w:val="0"/>
        </w:rPr>
        <w:t>部门概况</w:t>
      </w:r>
      <w:bookmarkEnd w:id="0"/>
      <w:bookmarkEnd w:id="1"/>
    </w:p>
    <w:p>
      <w:pPr>
        <w:pStyle w:val="3"/>
        <w:rPr>
          <w:rStyle w:val="21"/>
          <w:rFonts w:ascii="新宋体" w:hAnsi="新宋体" w:eastAsia="新宋体" w:cs="新宋体"/>
          <w:b/>
          <w:bCs w:val="0"/>
          <w:sz w:val="28"/>
          <w:szCs w:val="28"/>
        </w:rPr>
      </w:pPr>
      <w:bookmarkStart w:id="2" w:name="_Toc15377197"/>
      <w:bookmarkStart w:id="3" w:name="_Toc15396600"/>
      <w:r>
        <w:rPr>
          <w:rFonts w:hint="eastAsia" w:ascii="新宋体" w:hAnsi="新宋体" w:eastAsia="新宋体" w:cs="新宋体"/>
          <w:bCs w:val="0"/>
          <w:color w:val="000000"/>
          <w:sz w:val="28"/>
          <w:szCs w:val="28"/>
        </w:rPr>
        <w:t>一、基</w:t>
      </w:r>
      <w:r>
        <w:rPr>
          <w:rStyle w:val="21"/>
          <w:rFonts w:hint="eastAsia" w:ascii="新宋体" w:hAnsi="新宋体" w:eastAsia="新宋体" w:cs="新宋体"/>
          <w:b/>
          <w:bCs w:val="0"/>
          <w:sz w:val="28"/>
          <w:szCs w:val="28"/>
        </w:rPr>
        <w:t>本职能及主要工作</w:t>
      </w:r>
      <w:bookmarkEnd w:id="2"/>
      <w:bookmarkEnd w:id="3"/>
      <w:bookmarkStart w:id="4" w:name="_Toc15378445"/>
      <w:bookmarkStart w:id="5" w:name="_Toc15377198"/>
    </w:p>
    <w:p>
      <w:pPr>
        <w:pStyle w:val="4"/>
        <w:spacing w:before="93"/>
        <w:ind w:firstLine="562" w:firstLineChars="200"/>
        <w:rPr>
          <w:rFonts w:ascii="新宋体" w:hAnsi="新宋体" w:eastAsia="新宋体" w:cs="新宋体"/>
          <w:b/>
          <w:sz w:val="28"/>
          <w:szCs w:val="28"/>
        </w:rPr>
      </w:pPr>
      <w:r>
        <w:rPr>
          <w:rFonts w:hint="eastAsia" w:ascii="新宋体" w:hAnsi="新宋体" w:eastAsia="新宋体" w:cs="新宋体"/>
          <w:b/>
          <w:color w:val="000000"/>
          <w:sz w:val="28"/>
          <w:szCs w:val="28"/>
        </w:rPr>
        <w:t>（一）主要职能。</w:t>
      </w:r>
      <w:bookmarkEnd w:id="4"/>
      <w:bookmarkEnd w:id="5"/>
      <w:bookmarkStart w:id="6" w:name="_Toc15377199"/>
      <w:bookmarkStart w:id="7" w:name="_Toc15378446"/>
    </w:p>
    <w:p>
      <w:pPr>
        <w:pStyle w:val="4"/>
        <w:spacing w:before="93"/>
        <w:rPr>
          <w:rFonts w:ascii="新宋体" w:hAnsi="新宋体" w:eastAsia="新宋体" w:cs="新宋体"/>
          <w:sz w:val="28"/>
          <w:szCs w:val="28"/>
        </w:rPr>
      </w:pPr>
      <w:r>
        <w:rPr>
          <w:rFonts w:hint="eastAsia" w:ascii="新宋体" w:hAnsi="新宋体" w:eastAsia="新宋体" w:cs="新宋体"/>
          <w:sz w:val="28"/>
          <w:szCs w:val="28"/>
        </w:rPr>
        <w:t>　　1、制定本区域档案工作规范性文件并负责组织实施；</w:t>
      </w:r>
    </w:p>
    <w:p>
      <w:pPr>
        <w:pStyle w:val="4"/>
        <w:spacing w:before="93"/>
        <w:ind w:firstLine="700" w:firstLineChars="250"/>
        <w:rPr>
          <w:rFonts w:ascii="新宋体" w:hAnsi="新宋体" w:eastAsia="新宋体" w:cs="新宋体"/>
          <w:sz w:val="28"/>
          <w:szCs w:val="28"/>
        </w:rPr>
      </w:pPr>
      <w:r>
        <w:rPr>
          <w:rFonts w:hint="eastAsia" w:ascii="新宋体" w:hAnsi="新宋体" w:eastAsia="新宋体" w:cs="新宋体"/>
          <w:sz w:val="28"/>
          <w:szCs w:val="28"/>
        </w:rPr>
        <w:t>2、指导、监督、检查、协调本区域档案工作，查处档案违法案件；</w:t>
      </w:r>
    </w:p>
    <w:p>
      <w:pPr>
        <w:pStyle w:val="4"/>
        <w:spacing w:before="93"/>
        <w:ind w:firstLine="700" w:firstLineChars="250"/>
        <w:rPr>
          <w:rFonts w:ascii="新宋体" w:hAnsi="新宋体" w:eastAsia="新宋体" w:cs="新宋体"/>
          <w:sz w:val="28"/>
          <w:szCs w:val="28"/>
        </w:rPr>
      </w:pPr>
      <w:r>
        <w:rPr>
          <w:rFonts w:hint="eastAsia" w:ascii="新宋体" w:hAnsi="新宋体" w:eastAsia="新宋体" w:cs="新宋体"/>
          <w:sz w:val="28"/>
          <w:szCs w:val="28"/>
        </w:rPr>
        <w:t>3、组织开展本区域档案学术活动、档案宣传、教育培训、专业技术职务评聘工作；</w:t>
      </w:r>
    </w:p>
    <w:p>
      <w:pPr>
        <w:pStyle w:val="4"/>
        <w:spacing w:before="93"/>
        <w:ind w:firstLine="700" w:firstLineChars="250"/>
        <w:rPr>
          <w:rFonts w:ascii="新宋体" w:hAnsi="新宋体" w:eastAsia="新宋体" w:cs="新宋体"/>
          <w:sz w:val="28"/>
          <w:szCs w:val="28"/>
        </w:rPr>
      </w:pPr>
      <w:r>
        <w:rPr>
          <w:rFonts w:hint="eastAsia" w:ascii="新宋体" w:hAnsi="新宋体" w:eastAsia="新宋体" w:cs="新宋体"/>
          <w:sz w:val="28"/>
          <w:szCs w:val="28"/>
        </w:rPr>
        <w:t>4、负责接收、征集、整理、集中保管本区域档案及珍贵历史资料，确保档案资料的安全；</w:t>
      </w:r>
    </w:p>
    <w:p>
      <w:pPr>
        <w:pStyle w:val="3"/>
        <w:ind w:firstLine="560" w:firstLineChars="200"/>
        <w:rPr>
          <w:rFonts w:ascii="新宋体" w:hAnsi="新宋体" w:eastAsia="新宋体" w:cs="新宋体"/>
          <w:b w:val="0"/>
          <w:bCs w:val="0"/>
          <w:sz w:val="28"/>
          <w:szCs w:val="28"/>
        </w:rPr>
      </w:pPr>
      <w:r>
        <w:rPr>
          <w:rFonts w:hint="eastAsia" w:ascii="新宋体" w:hAnsi="新宋体" w:eastAsia="新宋体" w:cs="新宋体"/>
          <w:b w:val="0"/>
          <w:bCs w:val="0"/>
          <w:sz w:val="28"/>
          <w:szCs w:val="28"/>
        </w:rPr>
        <w:t>5、开展档案编研工作，开发档案信息资源，依法向社会开放档案。</w:t>
      </w:r>
    </w:p>
    <w:p>
      <w:pPr>
        <w:pStyle w:val="3"/>
        <w:ind w:firstLine="562" w:firstLineChars="200"/>
        <w:rPr>
          <w:rFonts w:ascii="新宋体" w:hAnsi="新宋体" w:eastAsia="新宋体" w:cs="新宋体"/>
          <w:color w:val="000000"/>
          <w:sz w:val="28"/>
          <w:szCs w:val="28"/>
        </w:rPr>
      </w:pPr>
      <w:r>
        <w:rPr>
          <w:rFonts w:hint="eastAsia" w:ascii="新宋体" w:hAnsi="新宋体" w:eastAsia="新宋体" w:cs="新宋体"/>
          <w:color w:val="000000"/>
          <w:sz w:val="28"/>
          <w:szCs w:val="28"/>
        </w:rPr>
        <w:t>（二）2019年重点工作完成情况。</w:t>
      </w:r>
      <w:bookmarkEnd w:id="6"/>
      <w:bookmarkEnd w:id="7"/>
    </w:p>
    <w:p>
      <w:pPr>
        <w:snapToGrid w:val="0"/>
        <w:spacing w:line="520" w:lineRule="exact"/>
        <w:ind w:firstLine="640"/>
        <w:rPr>
          <w:rFonts w:ascii="新宋体" w:hAnsi="新宋体" w:eastAsia="新宋体"/>
          <w:b/>
          <w:color w:val="000000" w:themeColor="text1"/>
          <w:sz w:val="28"/>
          <w:szCs w:val="28"/>
        </w:rPr>
      </w:pPr>
      <w:bookmarkStart w:id="8" w:name="_Toc15377200"/>
      <w:bookmarkStart w:id="9" w:name="_Toc15396601"/>
      <w:r>
        <w:rPr>
          <w:rFonts w:hint="eastAsia" w:ascii="新宋体" w:hAnsi="新宋体" w:eastAsia="新宋体"/>
          <w:b/>
          <w:color w:val="000000" w:themeColor="text1"/>
          <w:sz w:val="28"/>
          <w:szCs w:val="28"/>
        </w:rPr>
        <w:t>（二）当年取得的主要事业成效。</w:t>
      </w:r>
    </w:p>
    <w:p>
      <w:pPr>
        <w:widowControl/>
        <w:spacing w:line="560" w:lineRule="exact"/>
        <w:ind w:firstLine="600"/>
        <w:jc w:val="left"/>
        <w:rPr>
          <w:rFonts w:ascii="新宋体" w:hAnsi="新宋体" w:eastAsia="新宋体"/>
          <w:color w:val="000000" w:themeColor="text1"/>
          <w:sz w:val="28"/>
          <w:szCs w:val="28"/>
        </w:rPr>
      </w:pPr>
      <w:r>
        <w:rPr>
          <w:rFonts w:ascii="新宋体" w:hAnsi="新宋体" w:eastAsia="新宋体"/>
          <w:color w:val="000000" w:themeColor="text1"/>
          <w:sz w:val="28"/>
          <w:szCs w:val="28"/>
        </w:rPr>
        <w:t xml:space="preserve"> 1、以党的十九大精神和习近平</w:t>
      </w:r>
      <w:r>
        <w:rPr>
          <w:rFonts w:hint="eastAsia" w:ascii="新宋体" w:hAnsi="新宋体" w:eastAsia="新宋体"/>
          <w:color w:val="000000" w:themeColor="text1"/>
          <w:sz w:val="28"/>
          <w:szCs w:val="28"/>
        </w:rPr>
        <w:t>新时代</w:t>
      </w:r>
      <w:r>
        <w:rPr>
          <w:rFonts w:ascii="新宋体" w:hAnsi="新宋体" w:eastAsia="新宋体"/>
          <w:color w:val="000000" w:themeColor="text1"/>
          <w:sz w:val="28"/>
          <w:szCs w:val="28"/>
        </w:rPr>
        <w:t>中国特色社会主义思想为指导，围绕县委、县政府的中心工作，积极发挥馆藏档案优势，</w:t>
      </w:r>
      <w:r>
        <w:rPr>
          <w:rFonts w:hint="eastAsia" w:ascii="新宋体" w:hAnsi="新宋体" w:eastAsia="新宋体"/>
          <w:color w:val="000000" w:themeColor="text1"/>
          <w:sz w:val="28"/>
          <w:szCs w:val="28"/>
        </w:rPr>
        <w:t>为两个文明建设提供优质服务和有力保障</w:t>
      </w:r>
      <w:r>
        <w:rPr>
          <w:rFonts w:ascii="新宋体" w:hAnsi="新宋体" w:eastAsia="新宋体"/>
          <w:color w:val="000000" w:themeColor="text1"/>
          <w:sz w:val="28"/>
          <w:szCs w:val="28"/>
        </w:rPr>
        <w:t>。</w:t>
      </w:r>
      <w:r>
        <w:rPr>
          <w:rFonts w:hint="eastAsia" w:ascii="新宋体" w:hAnsi="新宋体" w:eastAsia="新宋体"/>
          <w:color w:val="000000" w:themeColor="text1"/>
          <w:sz w:val="28"/>
          <w:szCs w:val="28"/>
        </w:rPr>
        <w:t>2019年，县档案馆为群众提供档案查阅利用服务2169人次，通过档案查阅利用化解各种矛盾纠纷50余起，特别是利用婚姻档案补办结婚手续、利用土地房产档案化解矛盾和纠纷、利用企业档案办理社保、利用涉军档案解决退伍军人待遇、利用干部信息档案确认“三龄”等方面效果显著，把死档案变成了活信息，为公众提供了优质服务，为维护社会稳定和发展做出了积极贡献。</w:t>
      </w:r>
    </w:p>
    <w:p>
      <w:pPr>
        <w:widowControl/>
        <w:spacing w:line="560" w:lineRule="exact"/>
        <w:ind w:firstLine="600"/>
        <w:rPr>
          <w:rFonts w:ascii="新宋体" w:hAnsi="新宋体" w:eastAsia="新宋体"/>
          <w:color w:val="000000" w:themeColor="text1"/>
          <w:sz w:val="28"/>
          <w:szCs w:val="28"/>
        </w:rPr>
      </w:pPr>
      <w:r>
        <w:rPr>
          <w:rFonts w:ascii="新宋体" w:hAnsi="新宋体" w:eastAsia="新宋体"/>
          <w:color w:val="000000" w:themeColor="text1"/>
          <w:sz w:val="28"/>
          <w:szCs w:val="28"/>
        </w:rPr>
        <w:t>2.县综合档案馆建设项目推进有力，</w:t>
      </w:r>
      <w:r>
        <w:rPr>
          <w:rFonts w:hint="eastAsia" w:ascii="新宋体" w:hAnsi="新宋体" w:eastAsia="新宋体"/>
          <w:color w:val="000000" w:themeColor="text1"/>
          <w:sz w:val="28"/>
          <w:szCs w:val="28"/>
        </w:rPr>
        <w:t>土建</w:t>
      </w:r>
      <w:r>
        <w:rPr>
          <w:rFonts w:ascii="新宋体" w:hAnsi="新宋体" w:eastAsia="新宋体"/>
          <w:color w:val="000000" w:themeColor="text1"/>
          <w:sz w:val="28"/>
          <w:szCs w:val="28"/>
        </w:rPr>
        <w:t>工程</w:t>
      </w:r>
      <w:r>
        <w:rPr>
          <w:rFonts w:hint="eastAsia" w:ascii="新宋体" w:hAnsi="新宋体" w:eastAsia="新宋体"/>
          <w:color w:val="000000" w:themeColor="text1"/>
          <w:sz w:val="28"/>
          <w:szCs w:val="28"/>
        </w:rPr>
        <w:t>已峻工验收</w:t>
      </w:r>
      <w:r>
        <w:rPr>
          <w:rFonts w:ascii="新宋体" w:hAnsi="新宋体" w:eastAsia="新宋体"/>
          <w:color w:val="000000" w:themeColor="text1"/>
          <w:sz w:val="28"/>
          <w:szCs w:val="28"/>
        </w:rPr>
        <w:t>。</w:t>
      </w:r>
    </w:p>
    <w:p>
      <w:pPr>
        <w:widowControl/>
        <w:spacing w:line="560" w:lineRule="exact"/>
        <w:ind w:firstLine="600"/>
        <w:jc w:val="left"/>
        <w:rPr>
          <w:rFonts w:ascii="新宋体" w:hAnsi="新宋体" w:eastAsia="新宋体"/>
          <w:color w:val="000000" w:themeColor="text1"/>
          <w:sz w:val="28"/>
          <w:szCs w:val="28"/>
        </w:rPr>
      </w:pPr>
      <w:r>
        <w:rPr>
          <w:rFonts w:ascii="新宋体" w:hAnsi="新宋体" w:eastAsia="新宋体"/>
          <w:color w:val="000000" w:themeColor="text1"/>
          <w:sz w:val="28"/>
          <w:szCs w:val="28"/>
        </w:rPr>
        <w:t>3.组织全县专兼职档案人员</w:t>
      </w:r>
      <w:r>
        <w:rPr>
          <w:rFonts w:hint="eastAsia" w:ascii="新宋体" w:hAnsi="新宋体" w:eastAsia="新宋体"/>
          <w:color w:val="000000" w:themeColor="text1"/>
          <w:sz w:val="28"/>
          <w:szCs w:val="28"/>
        </w:rPr>
        <w:t>8</w:t>
      </w:r>
      <w:r>
        <w:rPr>
          <w:rFonts w:ascii="新宋体" w:hAnsi="新宋体" w:eastAsia="新宋体"/>
          <w:color w:val="000000" w:themeColor="text1"/>
          <w:sz w:val="28"/>
          <w:szCs w:val="28"/>
        </w:rPr>
        <w:t>0余人次到省市档案培训基地开展了业务培训。</w:t>
      </w:r>
    </w:p>
    <w:p>
      <w:pPr>
        <w:widowControl/>
        <w:spacing w:line="560" w:lineRule="exact"/>
        <w:ind w:firstLine="600"/>
        <w:jc w:val="left"/>
        <w:rPr>
          <w:rFonts w:ascii="新宋体" w:hAnsi="新宋体" w:eastAsia="新宋体"/>
          <w:color w:val="000000" w:themeColor="text1"/>
          <w:sz w:val="28"/>
          <w:szCs w:val="28"/>
        </w:rPr>
      </w:pPr>
      <w:r>
        <w:rPr>
          <w:rFonts w:ascii="新宋体" w:hAnsi="新宋体" w:eastAsia="新宋体"/>
          <w:color w:val="000000" w:themeColor="text1"/>
          <w:sz w:val="28"/>
          <w:szCs w:val="28"/>
        </w:rPr>
        <w:t>4.完成了国家重点档案信息电子著录</w:t>
      </w:r>
      <w:r>
        <w:rPr>
          <w:rFonts w:hint="eastAsia" w:ascii="新宋体" w:hAnsi="新宋体" w:eastAsia="新宋体"/>
          <w:color w:val="000000" w:themeColor="text1"/>
          <w:sz w:val="28"/>
          <w:szCs w:val="28"/>
        </w:rPr>
        <w:t>6</w:t>
      </w:r>
      <w:r>
        <w:rPr>
          <w:rFonts w:ascii="新宋体" w:hAnsi="新宋体" w:eastAsia="新宋体"/>
          <w:color w:val="000000" w:themeColor="text1"/>
          <w:sz w:val="28"/>
          <w:szCs w:val="28"/>
        </w:rPr>
        <w:t>万条。</w:t>
      </w:r>
    </w:p>
    <w:p>
      <w:pPr>
        <w:widowControl/>
        <w:spacing w:line="560" w:lineRule="exact"/>
        <w:ind w:firstLine="600"/>
        <w:jc w:val="left"/>
        <w:rPr>
          <w:rFonts w:ascii="新宋体" w:hAnsi="新宋体" w:eastAsia="新宋体"/>
          <w:color w:val="000000" w:themeColor="text1"/>
          <w:sz w:val="28"/>
          <w:szCs w:val="28"/>
        </w:rPr>
      </w:pPr>
      <w:r>
        <w:rPr>
          <w:rFonts w:ascii="新宋体" w:hAnsi="新宋体" w:eastAsia="新宋体"/>
          <w:color w:val="000000" w:themeColor="text1"/>
          <w:sz w:val="28"/>
          <w:szCs w:val="28"/>
        </w:rPr>
        <w:t>5.</w:t>
      </w:r>
      <w:r>
        <w:rPr>
          <w:rFonts w:hint="eastAsia" w:ascii="新宋体" w:hAnsi="新宋体" w:eastAsia="新宋体"/>
          <w:color w:val="000000" w:themeColor="text1"/>
          <w:sz w:val="28"/>
          <w:szCs w:val="28"/>
        </w:rPr>
        <w:t>完善档案资源体系建设。</w:t>
      </w:r>
    </w:p>
    <w:p>
      <w:pPr>
        <w:widowControl/>
        <w:spacing w:line="560" w:lineRule="exact"/>
        <w:ind w:firstLine="600"/>
        <w:jc w:val="left"/>
        <w:rPr>
          <w:rFonts w:ascii="新宋体" w:hAnsi="新宋体" w:eastAsia="新宋体"/>
          <w:color w:val="000000" w:themeColor="text1"/>
          <w:sz w:val="28"/>
          <w:szCs w:val="28"/>
        </w:rPr>
      </w:pPr>
      <w:r>
        <w:rPr>
          <w:rFonts w:hint="eastAsia" w:ascii="新宋体" w:hAnsi="新宋体" w:eastAsia="新宋体"/>
          <w:color w:val="000000" w:themeColor="text1"/>
          <w:sz w:val="28"/>
          <w:szCs w:val="28"/>
        </w:rPr>
        <w:t>2019年，县档案馆接收了地名普查档案和原红旗丝绸公司文书、会计、人事等档案7230卷，并在库存有限的情况下清理出库房容量，为2020年接收涉改乡镇(天池镇)和全县婚姻档案做好了准备。</w:t>
      </w:r>
    </w:p>
    <w:p>
      <w:pPr>
        <w:widowControl/>
        <w:spacing w:line="560" w:lineRule="exact"/>
        <w:ind w:firstLine="600"/>
        <w:jc w:val="left"/>
        <w:rPr>
          <w:rFonts w:ascii="新宋体" w:hAnsi="新宋体" w:eastAsia="新宋体"/>
          <w:color w:val="000000" w:themeColor="text1"/>
          <w:sz w:val="28"/>
          <w:szCs w:val="28"/>
        </w:rPr>
      </w:pPr>
      <w:r>
        <w:rPr>
          <w:rFonts w:ascii="新宋体" w:hAnsi="新宋体" w:eastAsia="新宋体"/>
          <w:color w:val="000000" w:themeColor="text1"/>
          <w:sz w:val="28"/>
          <w:szCs w:val="28"/>
        </w:rPr>
        <w:t>6.</w:t>
      </w:r>
      <w:r>
        <w:rPr>
          <w:rFonts w:hint="eastAsia" w:ascii="新宋体" w:hAnsi="新宋体" w:eastAsia="新宋体"/>
          <w:color w:val="000000" w:themeColor="text1"/>
          <w:sz w:val="28"/>
          <w:szCs w:val="28"/>
        </w:rPr>
        <w:t>提升档案安全体系建设</w:t>
      </w:r>
    </w:p>
    <w:p>
      <w:pPr>
        <w:widowControl/>
        <w:spacing w:line="560" w:lineRule="exact"/>
        <w:ind w:firstLine="600"/>
        <w:jc w:val="left"/>
        <w:rPr>
          <w:rFonts w:ascii="新宋体" w:hAnsi="新宋体" w:eastAsia="新宋体"/>
          <w:color w:val="000000" w:themeColor="text1"/>
          <w:sz w:val="28"/>
          <w:szCs w:val="28"/>
        </w:rPr>
      </w:pPr>
      <w:r>
        <w:rPr>
          <w:rFonts w:hint="eastAsia" w:ascii="新宋体" w:hAnsi="新宋体" w:eastAsia="新宋体"/>
          <w:color w:val="000000" w:themeColor="text1"/>
          <w:sz w:val="28"/>
          <w:szCs w:val="28"/>
        </w:rPr>
        <w:t>一是认真落实档案安全责任制，接受消防部门安全检查，及时更换消防桶，增加了消防应急照明灯、消防通道指示牌等设施；二是维修安保设施，确保符合库房“九防”要求。</w:t>
      </w:r>
    </w:p>
    <w:p>
      <w:pPr>
        <w:snapToGrid w:val="0"/>
        <w:spacing w:before="93" w:line="600" w:lineRule="exact"/>
        <w:ind w:firstLine="600"/>
        <w:jc w:val="left"/>
        <w:rPr>
          <w:rFonts w:ascii="新宋体" w:hAnsi="新宋体" w:eastAsia="新宋体"/>
          <w:b/>
          <w:color w:val="000000" w:themeColor="text1"/>
          <w:sz w:val="28"/>
          <w:szCs w:val="28"/>
        </w:rPr>
      </w:pPr>
      <w:r>
        <w:rPr>
          <w:rFonts w:ascii="新宋体" w:hAnsi="新宋体" w:eastAsia="新宋体"/>
          <w:color w:val="000000" w:themeColor="text1"/>
          <w:sz w:val="28"/>
          <w:szCs w:val="28"/>
        </w:rPr>
        <w:t>7.</w:t>
      </w:r>
      <w:r>
        <w:rPr>
          <w:rFonts w:hint="eastAsia" w:ascii="新宋体" w:hAnsi="新宋体" w:eastAsia="新宋体"/>
          <w:color w:val="000000" w:themeColor="text1"/>
          <w:sz w:val="28"/>
          <w:szCs w:val="28"/>
        </w:rPr>
        <w:t>认真开展档案业务指导工作</w:t>
      </w:r>
      <w:r>
        <w:rPr>
          <w:rFonts w:ascii="新宋体" w:hAnsi="新宋体" w:eastAsia="新宋体"/>
          <w:color w:val="000000" w:themeColor="text1"/>
          <w:sz w:val="28"/>
          <w:szCs w:val="28"/>
        </w:rPr>
        <w:t>。</w:t>
      </w:r>
      <w:r>
        <w:rPr>
          <w:rFonts w:hint="eastAsia" w:ascii="新宋体" w:hAnsi="新宋体" w:eastAsia="新宋体"/>
          <w:color w:val="000000" w:themeColor="text1"/>
          <w:sz w:val="28"/>
          <w:szCs w:val="28"/>
        </w:rPr>
        <w:t>一是对县、乡机构改革涉改单位档案处置全流程进行监督、指导，确保各单位档案收集齐全完整；二是对医院、学校、企业、园区档案工作加强指导；三是对重点项目、脫贫攻艰、地名普查档案进行实地指导，确保符合规范。</w:t>
      </w:r>
    </w:p>
    <w:p>
      <w:pPr>
        <w:pStyle w:val="3"/>
        <w:rPr>
          <w:rStyle w:val="21"/>
          <w:rFonts w:ascii="新宋体" w:hAnsi="新宋体" w:eastAsia="新宋体" w:cs="新宋体"/>
          <w:b/>
          <w:bCs w:val="0"/>
          <w:sz w:val="28"/>
          <w:szCs w:val="28"/>
        </w:rPr>
      </w:pPr>
      <w:r>
        <w:rPr>
          <w:rFonts w:hint="eastAsia" w:ascii="新宋体" w:hAnsi="新宋体" w:eastAsia="新宋体" w:cs="新宋体"/>
          <w:bCs w:val="0"/>
          <w:color w:val="000000"/>
          <w:sz w:val="28"/>
          <w:szCs w:val="28"/>
        </w:rPr>
        <w:t>二、机</w:t>
      </w:r>
      <w:r>
        <w:rPr>
          <w:rStyle w:val="21"/>
          <w:rFonts w:hint="eastAsia" w:ascii="新宋体" w:hAnsi="新宋体" w:eastAsia="新宋体" w:cs="新宋体"/>
          <w:b/>
          <w:bCs w:val="0"/>
          <w:sz w:val="28"/>
          <w:szCs w:val="28"/>
        </w:rPr>
        <w:t>构设置</w:t>
      </w:r>
      <w:bookmarkEnd w:id="8"/>
      <w:bookmarkEnd w:id="9"/>
    </w:p>
    <w:p>
      <w:pPr>
        <w:ind w:firstLine="700" w:firstLineChars="250"/>
        <w:rPr>
          <w:rFonts w:ascii="新宋体" w:hAnsi="新宋体" w:eastAsia="新宋体" w:cs="新宋体"/>
          <w:sz w:val="28"/>
          <w:szCs w:val="28"/>
        </w:rPr>
      </w:pPr>
      <w:r>
        <w:rPr>
          <w:rFonts w:hint="eastAsia" w:ascii="新宋体" w:hAnsi="新宋体" w:eastAsia="新宋体" w:cs="新宋体"/>
          <w:sz w:val="28"/>
          <w:szCs w:val="28"/>
        </w:rPr>
        <w:t>乐至县档案馆下属一级单位1个，其中行政单位0个，参照公务员法管理的事业单位</w:t>
      </w:r>
      <w:r>
        <w:rPr>
          <w:rFonts w:hint="eastAsia" w:ascii="新宋体" w:hAnsi="新宋体" w:eastAsia="新宋体" w:cs="新宋体"/>
          <w:bCs/>
          <w:sz w:val="28"/>
          <w:szCs w:val="28"/>
        </w:rPr>
        <w:t>1</w:t>
      </w:r>
      <w:r>
        <w:rPr>
          <w:rFonts w:hint="eastAsia" w:ascii="新宋体" w:hAnsi="新宋体" w:eastAsia="新宋体" w:cs="新宋体"/>
          <w:sz w:val="28"/>
          <w:szCs w:val="28"/>
        </w:rPr>
        <w:t>个，其他事业单位0个。</w:t>
      </w:r>
    </w:p>
    <w:p>
      <w:pPr>
        <w:pStyle w:val="4"/>
        <w:adjustRightInd w:val="0"/>
        <w:snapToGrid w:val="0"/>
        <w:spacing w:before="93" w:line="600" w:lineRule="exact"/>
        <w:ind w:firstLine="588" w:firstLineChars="210"/>
        <w:rPr>
          <w:rFonts w:ascii="新宋体" w:hAnsi="新宋体" w:eastAsia="新宋体" w:cs="新宋体"/>
          <w:color w:val="000000"/>
          <w:sz w:val="28"/>
          <w:szCs w:val="28"/>
        </w:rPr>
      </w:pPr>
      <w:r>
        <w:rPr>
          <w:rFonts w:hint="eastAsia" w:ascii="新宋体" w:hAnsi="新宋体" w:eastAsia="新宋体" w:cs="新宋体"/>
          <w:color w:val="000000"/>
          <w:sz w:val="28"/>
          <w:szCs w:val="28"/>
        </w:rPr>
        <w:t>纳入乐至县档案馆2019年度部门决算编制范围的一级预算单位包括：乐至县档案馆</w:t>
      </w:r>
    </w:p>
    <w:p>
      <w:pPr>
        <w:pStyle w:val="4"/>
        <w:adjustRightInd w:val="0"/>
        <w:snapToGrid w:val="0"/>
        <w:spacing w:before="93" w:line="600" w:lineRule="exact"/>
        <w:ind w:firstLine="588" w:firstLineChars="210"/>
        <w:rPr>
          <w:rFonts w:ascii="新宋体" w:hAnsi="新宋体" w:eastAsia="新宋体" w:cs="新宋体"/>
          <w:color w:val="000000"/>
          <w:sz w:val="28"/>
          <w:szCs w:val="28"/>
        </w:rPr>
      </w:pPr>
    </w:p>
    <w:p>
      <w:pPr>
        <w:widowControl/>
        <w:jc w:val="left"/>
        <w:rPr>
          <w:rFonts w:ascii="新宋体" w:hAnsi="新宋体" w:eastAsia="新宋体" w:cs="新宋体"/>
          <w:color w:val="000000"/>
          <w:kern w:val="0"/>
          <w:sz w:val="28"/>
          <w:szCs w:val="28"/>
        </w:rPr>
      </w:pPr>
      <w:r>
        <w:rPr>
          <w:rFonts w:hint="eastAsia" w:ascii="新宋体" w:hAnsi="新宋体" w:eastAsia="新宋体" w:cs="新宋体"/>
          <w:color w:val="000000"/>
          <w:sz w:val="28"/>
          <w:szCs w:val="28"/>
        </w:rPr>
        <w:br w:type="page"/>
      </w:r>
    </w:p>
    <w:p>
      <w:pPr>
        <w:widowControl/>
        <w:jc w:val="left"/>
        <w:rPr>
          <w:rFonts w:ascii="新宋体" w:hAnsi="新宋体" w:eastAsia="新宋体" w:cs="新宋体"/>
          <w:color w:val="000000"/>
          <w:kern w:val="0"/>
          <w:sz w:val="28"/>
          <w:szCs w:val="28"/>
        </w:rPr>
      </w:pPr>
    </w:p>
    <w:p>
      <w:pPr>
        <w:pStyle w:val="2"/>
        <w:ind w:right="440"/>
        <w:jc w:val="right"/>
        <w:rPr>
          <w:rFonts w:eastAsia="黑体"/>
        </w:rPr>
      </w:pPr>
      <w:bookmarkStart w:id="10" w:name="_Toc15377204"/>
      <w:bookmarkStart w:id="11" w:name="_Toc15396602"/>
      <w:r>
        <w:rPr>
          <w:rFonts w:hint="eastAsia" w:ascii="黑体" w:hAnsi="黑体" w:eastAsia="黑体"/>
          <w:b w:val="0"/>
          <w:color w:val="000000"/>
        </w:rPr>
        <w:t>第二部分</w:t>
      </w:r>
      <w:r>
        <w:rPr>
          <w:rFonts w:hint="eastAsia" w:ascii="黑体" w:hAnsi="黑体" w:eastAsia="黑体"/>
          <w:color w:val="000000"/>
        </w:rPr>
        <w:t xml:space="preserve"> </w:t>
      </w:r>
      <w:r>
        <w:rPr>
          <w:rStyle w:val="20"/>
          <w:rFonts w:hint="eastAsia" w:ascii="黑体" w:hAnsi="黑体" w:eastAsia="黑体"/>
          <w:b w:val="0"/>
          <w:bCs w:val="0"/>
        </w:rPr>
        <w:t>2019年度部门决算情况说</w:t>
      </w:r>
      <w:bookmarkEnd w:id="10"/>
      <w:bookmarkEnd w:id="11"/>
      <w:r>
        <w:rPr>
          <w:rStyle w:val="20"/>
          <w:rFonts w:hint="eastAsia" w:ascii="黑体" w:hAnsi="黑体" w:eastAsia="黑体"/>
          <w:b w:val="0"/>
          <w:bCs w:val="0"/>
        </w:rPr>
        <w:t>明</w:t>
      </w:r>
    </w:p>
    <w:p>
      <w:pPr>
        <w:pStyle w:val="18"/>
        <w:numPr>
          <w:ilvl w:val="0"/>
          <w:numId w:val="1"/>
        </w:numPr>
        <w:spacing w:line="600" w:lineRule="exact"/>
        <w:ind w:firstLineChars="0"/>
        <w:outlineLvl w:val="1"/>
        <w:rPr>
          <w:rStyle w:val="21"/>
          <w:rFonts w:ascii="新宋体" w:hAnsi="新宋体" w:eastAsia="新宋体" w:cs="新宋体"/>
          <w:sz w:val="28"/>
          <w:szCs w:val="28"/>
        </w:rPr>
      </w:pPr>
      <w:bookmarkStart w:id="12" w:name="_Toc15377205"/>
      <w:bookmarkStart w:id="13" w:name="_Toc15396603"/>
      <w:r>
        <w:rPr>
          <w:rFonts w:hint="eastAsia" w:ascii="新宋体" w:hAnsi="新宋体" w:eastAsia="新宋体" w:cs="新宋体"/>
          <w:b/>
          <w:bCs/>
          <w:color w:val="000000"/>
          <w:sz w:val="28"/>
          <w:szCs w:val="28"/>
        </w:rPr>
        <w:t>收</w:t>
      </w:r>
      <w:r>
        <w:rPr>
          <w:rStyle w:val="21"/>
          <w:rFonts w:hint="eastAsia" w:ascii="新宋体" w:hAnsi="新宋体" w:eastAsia="新宋体" w:cs="新宋体"/>
          <w:sz w:val="28"/>
          <w:szCs w:val="28"/>
        </w:rPr>
        <w:t>入支出决算总体情况说明</w:t>
      </w:r>
      <w:bookmarkEnd w:id="12"/>
      <w:bookmarkEnd w:id="13"/>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2019年度收、支总计309.19万元。与2018年收支484.74万元相比，收、支总计各增加-175.55万元，增长-36.22%。主要变动原因是综合档案馆基建专项的减少。</w:t>
      </w:r>
    </w:p>
    <w:p>
      <w:pPr>
        <w:spacing w:line="60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（图1：收、支决算总计变动情况图）（见下图）</w:t>
      </w:r>
    </w:p>
    <w:p>
      <w:pPr>
        <w:jc w:val="center"/>
      </w:pPr>
      <w:r>
        <w:drawing>
          <wp:inline distT="0" distB="0" distL="0" distR="0">
            <wp:extent cx="5194300" cy="2882900"/>
            <wp:effectExtent l="4445" t="4445" r="13335" b="825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18"/>
        <w:numPr>
          <w:ilvl w:val="0"/>
          <w:numId w:val="1"/>
        </w:numPr>
        <w:spacing w:line="600" w:lineRule="exact"/>
        <w:ind w:firstLineChars="0"/>
        <w:outlineLvl w:val="1"/>
        <w:rPr>
          <w:rStyle w:val="21"/>
          <w:rFonts w:ascii="新宋体" w:hAnsi="新宋体" w:eastAsia="新宋体" w:cs="新宋体"/>
          <w:sz w:val="28"/>
          <w:szCs w:val="28"/>
        </w:rPr>
      </w:pPr>
      <w:bookmarkStart w:id="14" w:name="_Toc15377206"/>
      <w:bookmarkStart w:id="15" w:name="_Toc15396604"/>
      <w:r>
        <w:rPr>
          <w:rFonts w:hint="eastAsia" w:ascii="新宋体" w:hAnsi="新宋体" w:eastAsia="新宋体" w:cs="新宋体"/>
          <w:b/>
          <w:bCs/>
          <w:color w:val="000000"/>
          <w:sz w:val="28"/>
          <w:szCs w:val="28"/>
        </w:rPr>
        <w:t>收</w:t>
      </w:r>
      <w:r>
        <w:rPr>
          <w:rStyle w:val="21"/>
          <w:rFonts w:hint="eastAsia" w:ascii="新宋体" w:hAnsi="新宋体" w:eastAsia="新宋体" w:cs="新宋体"/>
          <w:sz w:val="28"/>
          <w:szCs w:val="28"/>
        </w:rPr>
        <w:t>入决算情况说明</w:t>
      </w:r>
      <w:bookmarkEnd w:id="14"/>
      <w:bookmarkEnd w:id="15"/>
    </w:p>
    <w:p>
      <w:pPr>
        <w:spacing w:line="600" w:lineRule="exact"/>
        <w:ind w:firstLine="560" w:firstLineChars="200"/>
        <w:outlineLvl w:val="1"/>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本年收入合计309.19万元，其中：一般公共预算财政拨款收入309.19万元，占100%；政府性基金预算财政拨款收入0万元，占0%；国有资本经营预算财政拨款收入0万元，占0%；事业收入0万元，占0%；经营收入0万元，占0%；附属单位上缴收入0万元，占0%；其他收入0万元，占0%。</w:t>
      </w:r>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themeColor="text1"/>
          <w:sz w:val="28"/>
          <w:szCs w:val="28"/>
        </w:rPr>
        <w:t>（图2：收入决算结构图）</w:t>
      </w:r>
    </w:p>
    <w:p>
      <w:pPr>
        <w:rPr>
          <w:rFonts w:ascii="仿宋_GB2312" w:eastAsia="仿宋_GB2312"/>
          <w:color w:val="000000"/>
          <w:sz w:val="32"/>
          <w:szCs w:val="32"/>
        </w:rPr>
      </w:pPr>
      <w:r>
        <w:rPr>
          <w:rFonts w:hint="eastAsia" w:ascii="仿宋_GB2312" w:eastAsia="仿宋_GB2312"/>
          <w:color w:val="000000"/>
          <w:sz w:val="32"/>
          <w:szCs w:val="32"/>
        </w:rPr>
        <w:drawing>
          <wp:inline distT="0" distB="0" distL="0" distR="0">
            <wp:extent cx="5426710" cy="2675255"/>
            <wp:effectExtent l="19050" t="0" r="2159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18"/>
        <w:numPr>
          <w:ilvl w:val="0"/>
          <w:numId w:val="1"/>
        </w:numPr>
        <w:spacing w:line="600" w:lineRule="exact"/>
        <w:ind w:firstLineChars="0"/>
        <w:outlineLvl w:val="1"/>
        <w:rPr>
          <w:rStyle w:val="21"/>
          <w:rFonts w:ascii="新宋体" w:hAnsi="新宋体" w:eastAsia="新宋体" w:cs="新宋体"/>
          <w:sz w:val="28"/>
          <w:szCs w:val="28"/>
        </w:rPr>
      </w:pPr>
      <w:bookmarkStart w:id="16" w:name="_Toc15396605"/>
      <w:bookmarkStart w:id="17" w:name="_Toc15377207"/>
      <w:r>
        <w:rPr>
          <w:rFonts w:hint="eastAsia" w:ascii="新宋体" w:hAnsi="新宋体" w:eastAsia="新宋体" w:cs="新宋体"/>
          <w:b/>
          <w:bCs/>
          <w:color w:val="000000"/>
          <w:sz w:val="28"/>
          <w:szCs w:val="28"/>
        </w:rPr>
        <w:t>支</w:t>
      </w:r>
      <w:r>
        <w:rPr>
          <w:rStyle w:val="21"/>
          <w:rFonts w:hint="eastAsia" w:ascii="新宋体" w:hAnsi="新宋体" w:eastAsia="新宋体" w:cs="新宋体"/>
          <w:sz w:val="28"/>
          <w:szCs w:val="28"/>
        </w:rPr>
        <w:t>出决算情况说明</w:t>
      </w:r>
      <w:bookmarkEnd w:id="16"/>
      <w:bookmarkEnd w:id="17"/>
    </w:p>
    <w:p>
      <w:pPr>
        <w:spacing w:line="600" w:lineRule="exact"/>
        <w:ind w:firstLine="64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2019年本年支出合计309.19万元，其中：基本支出138.08万元，占44.66%；项目支出171.11万元，占53.34%；上缴上级支出0万元，占0%；经营支出0万元，占0%；对附属单位补助支出0万元，占0%。</w:t>
      </w:r>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themeColor="text1"/>
          <w:sz w:val="28"/>
          <w:szCs w:val="28"/>
        </w:rPr>
        <w:t>（图3：支出决算结构图）</w:t>
      </w:r>
    </w:p>
    <w:p>
      <w:pPr>
        <w:jc w:val="center"/>
      </w:pPr>
      <w:r>
        <w:drawing>
          <wp:inline distT="0" distB="0" distL="0" distR="0">
            <wp:extent cx="5471795" cy="3317240"/>
            <wp:effectExtent l="19050" t="0" r="14605"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562" w:firstLineChars="200"/>
        <w:outlineLvl w:val="1"/>
        <w:rPr>
          <w:rStyle w:val="21"/>
          <w:rFonts w:ascii="新宋体" w:hAnsi="新宋体" w:eastAsia="新宋体" w:cs="新宋体"/>
          <w:sz w:val="28"/>
          <w:szCs w:val="28"/>
        </w:rPr>
      </w:pPr>
      <w:bookmarkStart w:id="18" w:name="_Toc15396606"/>
      <w:bookmarkStart w:id="19" w:name="_Toc15377208"/>
      <w:r>
        <w:rPr>
          <w:rFonts w:hint="eastAsia" w:ascii="新宋体" w:hAnsi="新宋体" w:eastAsia="新宋体" w:cs="新宋体"/>
          <w:b/>
          <w:bCs/>
          <w:color w:val="000000"/>
          <w:sz w:val="28"/>
          <w:szCs w:val="28"/>
        </w:rPr>
        <w:t>四、财</w:t>
      </w:r>
      <w:r>
        <w:rPr>
          <w:rStyle w:val="21"/>
          <w:rFonts w:hint="eastAsia" w:ascii="新宋体" w:hAnsi="新宋体" w:eastAsia="新宋体" w:cs="新宋体"/>
          <w:sz w:val="28"/>
          <w:szCs w:val="28"/>
        </w:rPr>
        <w:t>政拨款收入支出决算总体情况说明</w:t>
      </w:r>
      <w:bookmarkEnd w:id="18"/>
      <w:bookmarkEnd w:id="19"/>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2019年财政拨款收、支总计309.19万元。与2018年相比，财政拨款收、支总计各增加-175.55万元，增长-36.22%。主要变动原因是综合档案馆基建专项的减少。</w:t>
      </w:r>
    </w:p>
    <w:p>
      <w:pPr>
        <w:shd w:val="clear" w:color="000000" w:fill="FFFFFF"/>
        <w:spacing w:line="600" w:lineRule="exact"/>
        <w:ind w:firstLine="640"/>
        <w:rPr>
          <w:rFonts w:ascii="新宋体" w:hAnsi="新宋体" w:eastAsia="新宋体" w:cs="新宋体"/>
          <w:color w:val="000000"/>
          <w:sz w:val="32"/>
          <w:szCs w:val="32"/>
        </w:rPr>
      </w:pPr>
      <w:r>
        <w:rPr>
          <w:rFonts w:hint="eastAsia" w:ascii="新宋体" w:hAnsi="新宋体" w:eastAsia="新宋体" w:cs="新宋体"/>
          <w:color w:val="000000" w:themeColor="text1"/>
          <w:sz w:val="28"/>
          <w:szCs w:val="28"/>
        </w:rPr>
        <w:t>（图4：财政拨款收、支决算总计变动情况）</w:t>
      </w:r>
    </w:p>
    <w:p>
      <w:pPr>
        <w:jc w:val="center"/>
      </w:pPr>
      <w:r>
        <w:rPr>
          <w:rFonts w:hint="eastAsia"/>
        </w:rPr>
        <w:t>　</w:t>
      </w:r>
      <w:r>
        <w:drawing>
          <wp:inline distT="0" distB="0" distL="0" distR="0">
            <wp:extent cx="5239385" cy="3390900"/>
            <wp:effectExtent l="4445" t="4445" r="13970" b="1841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rPr>
          <w:rFonts w:ascii="新宋体" w:hAnsi="新宋体" w:eastAsia="新宋体" w:cs="新宋体"/>
          <w:b/>
          <w:color w:val="00B050"/>
          <w:sz w:val="28"/>
          <w:szCs w:val="28"/>
        </w:rPr>
      </w:pPr>
      <w:r>
        <w:rPr>
          <w:rFonts w:hint="eastAsia" w:ascii="新宋体" w:hAnsi="新宋体" w:eastAsia="新宋体" w:cs="新宋体"/>
          <w:b/>
          <w:color w:val="000000" w:themeColor="text1"/>
          <w:sz w:val="28"/>
          <w:szCs w:val="28"/>
        </w:rPr>
        <w:t>（除国有资本经营预算外，数据来源于财决Z01-1表，口径为“总计”数+国有资本经营预算。）</w:t>
      </w:r>
    </w:p>
    <w:p>
      <w:pPr>
        <w:spacing w:line="600" w:lineRule="exact"/>
        <w:ind w:firstLine="562" w:firstLineChars="200"/>
        <w:outlineLvl w:val="1"/>
        <w:rPr>
          <w:rStyle w:val="21"/>
          <w:rFonts w:ascii="黑体" w:hAnsi="黑体" w:eastAsia="黑体"/>
          <w:sz w:val="28"/>
          <w:szCs w:val="28"/>
        </w:rPr>
      </w:pPr>
      <w:bookmarkStart w:id="20" w:name="_Toc15396607"/>
      <w:bookmarkStart w:id="21" w:name="_Toc15377209"/>
      <w:r>
        <w:rPr>
          <w:rFonts w:hint="eastAsia" w:ascii="黑体" w:hAnsi="黑体" w:eastAsia="黑体"/>
          <w:b/>
          <w:bCs/>
          <w:color w:val="000000"/>
          <w:sz w:val="28"/>
          <w:szCs w:val="28"/>
        </w:rPr>
        <w:t>五、一</w:t>
      </w:r>
      <w:r>
        <w:rPr>
          <w:rStyle w:val="21"/>
          <w:rFonts w:hint="eastAsia" w:ascii="黑体" w:hAnsi="黑体" w:eastAsia="黑体"/>
          <w:sz w:val="28"/>
          <w:szCs w:val="28"/>
        </w:rPr>
        <w:t>般公共预算财政拨款支出决算情况说明</w:t>
      </w:r>
      <w:bookmarkEnd w:id="20"/>
      <w:bookmarkEnd w:id="21"/>
    </w:p>
    <w:p>
      <w:pPr>
        <w:spacing w:line="600" w:lineRule="exact"/>
        <w:ind w:firstLine="562" w:firstLineChars="200"/>
        <w:outlineLvl w:val="2"/>
        <w:rPr>
          <w:rFonts w:ascii="新宋体" w:hAnsi="新宋体" w:eastAsia="新宋体" w:cs="新宋体"/>
          <w:b/>
          <w:color w:val="000000"/>
          <w:sz w:val="28"/>
          <w:szCs w:val="28"/>
        </w:rPr>
      </w:pPr>
      <w:bookmarkStart w:id="22" w:name="_Toc15377210"/>
      <w:r>
        <w:rPr>
          <w:rFonts w:hint="eastAsia" w:ascii="新宋体" w:hAnsi="新宋体" w:eastAsia="新宋体" w:cs="新宋体"/>
          <w:b/>
          <w:color w:val="000000"/>
          <w:sz w:val="28"/>
          <w:szCs w:val="28"/>
        </w:rPr>
        <w:t>（一）一般公共预算财政拨款支出决算总体情况</w:t>
      </w:r>
      <w:bookmarkEnd w:id="22"/>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2019年一般公共预算财政拨款支出309.19万元，占本年支出合计的100%。与2018年相比，一般公共预算财政拨款增加-175.55万元，增长-36.22%。主要变动原因是综合档案馆基建专项的减少。</w:t>
      </w:r>
    </w:p>
    <w:p>
      <w:pPr>
        <w:shd w:val="clear" w:color="000000" w:fill="FFFFFF"/>
        <w:spacing w:line="600" w:lineRule="exact"/>
        <w:ind w:firstLine="64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（图5：一般公共预算财政拨款支出决算变动情况）</w:t>
      </w:r>
    </w:p>
    <w:p>
      <w:pPr>
        <w:jc w:val="center"/>
      </w:pPr>
      <w:r>
        <w:drawing>
          <wp:inline distT="0" distB="0" distL="0" distR="0">
            <wp:extent cx="5240020" cy="2556510"/>
            <wp:effectExtent l="4445" t="4445" r="1333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562" w:firstLineChars="200"/>
        <w:outlineLvl w:val="2"/>
        <w:rPr>
          <w:rFonts w:ascii="新宋体" w:hAnsi="新宋体" w:eastAsia="新宋体" w:cs="新宋体"/>
          <w:b/>
          <w:color w:val="000000"/>
          <w:sz w:val="28"/>
          <w:szCs w:val="28"/>
        </w:rPr>
      </w:pPr>
      <w:bookmarkStart w:id="23" w:name="_Toc15377211"/>
      <w:r>
        <w:rPr>
          <w:rFonts w:hint="eastAsia" w:ascii="新宋体" w:hAnsi="新宋体" w:eastAsia="新宋体" w:cs="新宋体"/>
          <w:b/>
          <w:color w:val="000000"/>
          <w:sz w:val="28"/>
          <w:szCs w:val="28"/>
        </w:rPr>
        <w:t>（二）一般公共预算财政拨款支出决算结构情况</w:t>
      </w:r>
      <w:bookmarkEnd w:id="23"/>
    </w:p>
    <w:p>
      <w:pPr>
        <w:spacing w:line="600" w:lineRule="exact"/>
        <w:ind w:firstLine="640"/>
        <w:rPr>
          <w:rFonts w:ascii="新宋体" w:hAnsi="新宋体" w:eastAsia="新宋体" w:cs="新宋体"/>
          <w:color w:val="000000" w:themeColor="text1"/>
          <w:sz w:val="28"/>
          <w:szCs w:val="28"/>
        </w:rPr>
      </w:pPr>
      <w:r>
        <w:rPr>
          <w:rFonts w:hint="eastAsia" w:ascii="新宋体" w:hAnsi="新宋体" w:eastAsia="新宋体" w:cs="新宋体"/>
          <w:color w:val="000000"/>
          <w:sz w:val="28"/>
          <w:szCs w:val="28"/>
        </w:rPr>
        <w:t>2019年一般公共预算财</w:t>
      </w:r>
      <w:r>
        <w:rPr>
          <w:rFonts w:hint="eastAsia" w:ascii="新宋体" w:hAnsi="新宋体" w:eastAsia="新宋体" w:cs="新宋体"/>
          <w:color w:val="000000" w:themeColor="text1"/>
          <w:sz w:val="28"/>
          <w:szCs w:val="28"/>
        </w:rPr>
        <w:t xml:space="preserve">政拨款支出309.19万元，主要用于以下方面: </w:t>
      </w:r>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1.一般公共服务201（类）26（款）01（项）:</w:t>
      </w:r>
      <w:r>
        <w:rPr>
          <w:rStyle w:val="13"/>
          <w:rFonts w:hint="eastAsia" w:ascii="宋体" w:hAnsi="宋体" w:cs="宋体"/>
          <w:b w:val="0"/>
          <w:color w:val="000000"/>
          <w:sz w:val="28"/>
          <w:szCs w:val="28"/>
        </w:rPr>
        <w:t xml:space="preserve"> 行政运行支出决算为107.70万元，占支出34.83%。</w:t>
      </w:r>
    </w:p>
    <w:p>
      <w:pPr>
        <w:wordWrap w:val="0"/>
        <w:spacing w:line="600" w:lineRule="exact"/>
        <w:ind w:firstLine="602"/>
        <w:rPr>
          <w:rFonts w:ascii="新宋体" w:hAnsi="新宋体" w:eastAsia="新宋体"/>
          <w:color w:val="000000"/>
          <w:sz w:val="28"/>
          <w:szCs w:val="28"/>
        </w:rPr>
      </w:pPr>
      <w:r>
        <w:rPr>
          <w:rFonts w:hint="eastAsia" w:ascii="新宋体" w:hAnsi="新宋体" w:eastAsia="新宋体"/>
          <w:b/>
          <w:color w:val="000000"/>
          <w:sz w:val="28"/>
          <w:szCs w:val="28"/>
        </w:rPr>
        <w:t>2.</w:t>
      </w:r>
      <w:r>
        <w:rPr>
          <w:rFonts w:ascii="新宋体" w:hAnsi="新宋体" w:eastAsia="新宋体"/>
          <w:b/>
          <w:color w:val="000000"/>
          <w:sz w:val="28"/>
          <w:szCs w:val="28"/>
        </w:rPr>
        <w:t>一般公共服务201（类）26（款）04（项）:</w:t>
      </w:r>
      <w:r>
        <w:rPr>
          <w:rFonts w:ascii="新宋体" w:hAnsi="新宋体" w:eastAsia="新宋体"/>
          <w:color w:val="000000"/>
          <w:sz w:val="28"/>
          <w:szCs w:val="28"/>
        </w:rPr>
        <w:t xml:space="preserve"> 档案馆建设专项支出决算数为</w:t>
      </w:r>
      <w:r>
        <w:rPr>
          <w:rFonts w:hint="eastAsia" w:ascii="新宋体" w:hAnsi="新宋体" w:eastAsia="新宋体"/>
          <w:color w:val="000000"/>
          <w:sz w:val="28"/>
          <w:szCs w:val="28"/>
        </w:rPr>
        <w:t>150.87</w:t>
      </w:r>
      <w:r>
        <w:rPr>
          <w:rFonts w:ascii="新宋体" w:hAnsi="新宋体" w:eastAsia="新宋体"/>
          <w:color w:val="000000"/>
          <w:sz w:val="28"/>
          <w:szCs w:val="28"/>
        </w:rPr>
        <w:t>万元，</w:t>
      </w:r>
      <w:r>
        <w:rPr>
          <w:rStyle w:val="13"/>
          <w:rFonts w:hint="eastAsia" w:ascii="宋体" w:hAnsi="宋体" w:cs="宋体"/>
          <w:b w:val="0"/>
          <w:color w:val="000000"/>
          <w:sz w:val="28"/>
          <w:szCs w:val="28"/>
        </w:rPr>
        <w:t>占支出</w:t>
      </w:r>
      <w:r>
        <w:rPr>
          <w:rFonts w:hint="eastAsia" w:ascii="新宋体" w:hAnsi="新宋体" w:eastAsia="新宋体"/>
          <w:color w:val="000000"/>
          <w:sz w:val="28"/>
          <w:szCs w:val="28"/>
        </w:rPr>
        <w:t>48.80%</w:t>
      </w:r>
      <w:r>
        <w:rPr>
          <w:rFonts w:ascii="新宋体" w:hAnsi="新宋体" w:eastAsia="新宋体"/>
          <w:color w:val="000000"/>
          <w:sz w:val="28"/>
          <w:szCs w:val="28"/>
        </w:rPr>
        <w:t>。</w:t>
      </w:r>
    </w:p>
    <w:p>
      <w:pPr>
        <w:wordWrap w:val="0"/>
        <w:spacing w:line="600" w:lineRule="exact"/>
        <w:ind w:firstLine="602"/>
        <w:rPr>
          <w:rStyle w:val="13"/>
          <w:rFonts w:ascii="宋体" w:hAnsi="宋体" w:cs="宋体"/>
          <w:b w:val="0"/>
          <w:color w:val="000000"/>
          <w:sz w:val="28"/>
          <w:szCs w:val="28"/>
        </w:rPr>
      </w:pPr>
      <w:r>
        <w:rPr>
          <w:rFonts w:hint="eastAsia" w:ascii="新宋体" w:hAnsi="新宋体" w:eastAsia="新宋体"/>
          <w:b/>
          <w:color w:val="000000"/>
          <w:sz w:val="28"/>
          <w:szCs w:val="28"/>
        </w:rPr>
        <w:t>3.</w:t>
      </w:r>
      <w:r>
        <w:rPr>
          <w:rFonts w:ascii="新宋体" w:hAnsi="新宋体" w:eastAsia="新宋体"/>
          <w:b/>
          <w:color w:val="000000"/>
          <w:sz w:val="28"/>
          <w:szCs w:val="28"/>
        </w:rPr>
        <w:t>一般公共服务201（类）26（款）99（项）:</w:t>
      </w:r>
      <w:r>
        <w:rPr>
          <w:rFonts w:ascii="新宋体" w:hAnsi="新宋体" w:eastAsia="新宋体"/>
          <w:color w:val="000000"/>
          <w:sz w:val="28"/>
          <w:szCs w:val="28"/>
        </w:rPr>
        <w:t xml:space="preserve"> </w:t>
      </w:r>
      <w:r>
        <w:rPr>
          <w:rFonts w:hint="eastAsia" w:ascii="新宋体" w:hAnsi="新宋体" w:eastAsia="新宋体"/>
          <w:color w:val="000000"/>
          <w:sz w:val="28"/>
          <w:szCs w:val="28"/>
        </w:rPr>
        <w:t>其他档案事务</w:t>
      </w:r>
      <w:r>
        <w:rPr>
          <w:rFonts w:ascii="新宋体" w:hAnsi="新宋体" w:eastAsia="新宋体"/>
          <w:color w:val="000000"/>
          <w:sz w:val="28"/>
          <w:szCs w:val="28"/>
        </w:rPr>
        <w:t>档案保管保护专项支出决算数为</w:t>
      </w:r>
      <w:r>
        <w:rPr>
          <w:rFonts w:hint="eastAsia" w:ascii="新宋体" w:hAnsi="新宋体" w:eastAsia="新宋体"/>
          <w:color w:val="000000"/>
          <w:sz w:val="28"/>
          <w:szCs w:val="28"/>
        </w:rPr>
        <w:t>20.24</w:t>
      </w:r>
      <w:r>
        <w:rPr>
          <w:rFonts w:ascii="新宋体" w:hAnsi="新宋体" w:eastAsia="新宋体"/>
          <w:color w:val="000000"/>
          <w:sz w:val="28"/>
          <w:szCs w:val="28"/>
        </w:rPr>
        <w:t>万元，</w:t>
      </w:r>
      <w:r>
        <w:rPr>
          <w:rFonts w:hint="eastAsia" w:ascii="新宋体" w:hAnsi="新宋体" w:eastAsia="新宋体"/>
          <w:color w:val="000000"/>
          <w:sz w:val="28"/>
          <w:szCs w:val="28"/>
        </w:rPr>
        <w:t>占支出6.55%</w:t>
      </w:r>
      <w:r>
        <w:rPr>
          <w:rFonts w:ascii="新宋体" w:hAnsi="新宋体" w:eastAsia="新宋体"/>
          <w:color w:val="000000"/>
          <w:sz w:val="28"/>
          <w:szCs w:val="28"/>
        </w:rPr>
        <w:t>。</w:t>
      </w:r>
    </w:p>
    <w:p>
      <w:pPr>
        <w:spacing w:line="600" w:lineRule="exact"/>
        <w:ind w:firstLine="562" w:firstLineChars="200"/>
        <w:rPr>
          <w:rFonts w:ascii="宋体" w:hAnsi="宋体" w:cs="宋体"/>
          <w:b/>
          <w:color w:val="000000"/>
          <w:sz w:val="28"/>
          <w:szCs w:val="28"/>
        </w:rPr>
      </w:pPr>
      <w:r>
        <w:rPr>
          <w:rStyle w:val="13"/>
          <w:rFonts w:hint="eastAsia" w:ascii="宋体" w:hAnsi="宋体" w:cs="宋体"/>
          <w:color w:val="000000"/>
          <w:sz w:val="28"/>
          <w:szCs w:val="28"/>
        </w:rPr>
        <w:t>4.教育（类）***（款）***（项）:</w:t>
      </w:r>
      <w:r>
        <w:rPr>
          <w:rStyle w:val="13"/>
          <w:rFonts w:hint="eastAsia" w:ascii="宋体" w:hAnsi="宋体" w:cs="宋体"/>
          <w:b w:val="0"/>
          <w:color w:val="000000"/>
          <w:sz w:val="28"/>
          <w:szCs w:val="28"/>
        </w:rPr>
        <w:t xml:space="preserve"> 支出决算为0万元，占支出0%，主要原因是年初无此预算。</w:t>
      </w:r>
    </w:p>
    <w:p>
      <w:pPr>
        <w:spacing w:line="600" w:lineRule="exact"/>
        <w:ind w:firstLine="562" w:firstLineChars="200"/>
        <w:rPr>
          <w:rFonts w:ascii="宋体" w:hAnsi="宋体" w:cs="宋体"/>
          <w:b/>
          <w:color w:val="000000"/>
          <w:sz w:val="28"/>
          <w:szCs w:val="28"/>
        </w:rPr>
      </w:pPr>
      <w:r>
        <w:rPr>
          <w:rStyle w:val="13"/>
          <w:rFonts w:hint="eastAsia" w:ascii="宋体" w:hAnsi="宋体" w:cs="宋体"/>
          <w:color w:val="000000"/>
          <w:sz w:val="28"/>
          <w:szCs w:val="28"/>
        </w:rPr>
        <w:t>5.科学技术（类）***（款）***（项）:</w:t>
      </w:r>
      <w:r>
        <w:rPr>
          <w:rStyle w:val="13"/>
          <w:rFonts w:hint="eastAsia" w:ascii="宋体" w:hAnsi="宋体" w:cs="宋体"/>
          <w:b w:val="0"/>
          <w:color w:val="000000"/>
          <w:sz w:val="28"/>
          <w:szCs w:val="28"/>
        </w:rPr>
        <w:t xml:space="preserve"> 支出决算为0万元，占支出0%，主要原因是年初无此预算。</w:t>
      </w:r>
    </w:p>
    <w:p>
      <w:pPr>
        <w:spacing w:line="600" w:lineRule="exact"/>
        <w:ind w:firstLine="562" w:firstLineChars="200"/>
        <w:rPr>
          <w:rFonts w:ascii="宋体" w:hAnsi="宋体" w:cs="宋体"/>
          <w:b/>
          <w:color w:val="000000"/>
          <w:sz w:val="28"/>
          <w:szCs w:val="28"/>
        </w:rPr>
      </w:pPr>
      <w:r>
        <w:rPr>
          <w:rStyle w:val="13"/>
          <w:rFonts w:hint="eastAsia" w:ascii="宋体" w:hAnsi="宋体" w:cs="宋体"/>
          <w:color w:val="000000"/>
          <w:sz w:val="28"/>
          <w:szCs w:val="28"/>
        </w:rPr>
        <w:t>6.文化体育与传媒（类）***（款）***（项）:</w:t>
      </w:r>
      <w:r>
        <w:rPr>
          <w:rStyle w:val="13"/>
          <w:rFonts w:hint="eastAsia" w:ascii="宋体" w:hAnsi="宋体" w:cs="宋体"/>
          <w:b w:val="0"/>
          <w:color w:val="000000"/>
          <w:sz w:val="28"/>
          <w:szCs w:val="28"/>
        </w:rPr>
        <w:t xml:space="preserve"> 支出决算为0万元，占支出0%，主要原因是年初无此预算。</w:t>
      </w:r>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7.社会保障和就业208（类）05（款）05（项）:</w:t>
      </w:r>
      <w:r>
        <w:rPr>
          <w:rStyle w:val="13"/>
          <w:rFonts w:hint="eastAsia" w:ascii="宋体" w:hAnsi="宋体" w:cs="宋体"/>
          <w:b w:val="0"/>
          <w:color w:val="000000"/>
          <w:sz w:val="28"/>
          <w:szCs w:val="28"/>
        </w:rPr>
        <w:t xml:space="preserve"> 机关事业单位养老保险缴费支出决算为11.04万元，占支出3.57%。</w:t>
      </w:r>
    </w:p>
    <w:p>
      <w:pPr>
        <w:spacing w:line="600" w:lineRule="exact"/>
        <w:ind w:firstLine="562" w:firstLineChars="200"/>
        <w:rPr>
          <w:rStyle w:val="13"/>
          <w:rFonts w:ascii="仿宋" w:hAnsi="仿宋" w:eastAsia="仿宋" w:cs="仿宋"/>
          <w:b w:val="0"/>
          <w:color w:val="000000"/>
          <w:sz w:val="28"/>
          <w:szCs w:val="28"/>
        </w:rPr>
      </w:pPr>
      <w:r>
        <w:rPr>
          <w:rStyle w:val="13"/>
          <w:rFonts w:hint="eastAsia" w:ascii="宋体" w:hAnsi="宋体" w:cs="宋体"/>
          <w:color w:val="000000"/>
          <w:sz w:val="28"/>
          <w:szCs w:val="28"/>
        </w:rPr>
        <w:t>8.社会保障和就业208（类）05（款）06（项）:</w:t>
      </w:r>
      <w:r>
        <w:rPr>
          <w:rStyle w:val="13"/>
          <w:rFonts w:hint="eastAsia" w:ascii="仿宋" w:hAnsi="仿宋" w:eastAsia="仿宋" w:cs="仿宋"/>
          <w:b w:val="0"/>
          <w:color w:val="000000"/>
          <w:sz w:val="28"/>
          <w:szCs w:val="28"/>
        </w:rPr>
        <w:t xml:space="preserve"> </w:t>
      </w:r>
      <w:r>
        <w:rPr>
          <w:rFonts w:hint="eastAsia" w:ascii="新宋体" w:hAnsi="新宋体" w:eastAsia="新宋体" w:cs="新宋体"/>
          <w:color w:val="000000"/>
          <w:kern w:val="0"/>
          <w:sz w:val="28"/>
          <w:szCs w:val="28"/>
        </w:rPr>
        <w:t>机关事业单位职业年金缴费支出</w:t>
      </w:r>
      <w:r>
        <w:rPr>
          <w:rStyle w:val="13"/>
          <w:rFonts w:hint="eastAsia" w:ascii="新宋体" w:hAnsi="新宋体" w:eastAsia="新宋体" w:cs="新宋体"/>
          <w:b w:val="0"/>
          <w:color w:val="000000"/>
          <w:sz w:val="28"/>
          <w:szCs w:val="28"/>
        </w:rPr>
        <w:t>支出决算为3.16万元，占支出1.02%。</w:t>
      </w:r>
    </w:p>
    <w:p>
      <w:pPr>
        <w:spacing w:line="600" w:lineRule="exact"/>
        <w:ind w:firstLine="640"/>
        <w:rPr>
          <w:rStyle w:val="13"/>
          <w:rFonts w:ascii="宋体" w:hAnsi="宋体" w:cs="宋体"/>
          <w:b w:val="0"/>
          <w:bCs w:val="0"/>
          <w:color w:val="000000"/>
          <w:sz w:val="28"/>
          <w:szCs w:val="28"/>
        </w:rPr>
      </w:pPr>
      <w:r>
        <w:rPr>
          <w:rStyle w:val="13"/>
          <w:rFonts w:hint="eastAsia" w:ascii="宋体" w:hAnsi="宋体" w:cs="宋体"/>
          <w:color w:val="000000"/>
          <w:sz w:val="28"/>
          <w:szCs w:val="28"/>
        </w:rPr>
        <w:t>9.医疗卫生与计划生育210（类）10（款）01（项）:</w:t>
      </w:r>
      <w:r>
        <w:rPr>
          <w:rStyle w:val="13"/>
          <w:rFonts w:hint="eastAsia" w:ascii="宋体" w:hAnsi="宋体" w:cs="宋体"/>
          <w:b w:val="0"/>
          <w:bCs w:val="0"/>
          <w:color w:val="000000"/>
          <w:sz w:val="28"/>
          <w:szCs w:val="28"/>
        </w:rPr>
        <w:t>行政单位医疗支出决算为4.54万元，占支出1.47%。</w:t>
      </w:r>
    </w:p>
    <w:p>
      <w:pPr>
        <w:spacing w:line="600" w:lineRule="exact"/>
        <w:ind w:firstLine="640"/>
        <w:rPr>
          <w:rStyle w:val="13"/>
          <w:rFonts w:ascii="宋体" w:hAnsi="宋体" w:cs="宋体"/>
          <w:b w:val="0"/>
          <w:color w:val="000000"/>
          <w:sz w:val="28"/>
          <w:szCs w:val="28"/>
        </w:rPr>
      </w:pPr>
      <w:r>
        <w:rPr>
          <w:rStyle w:val="13"/>
          <w:rFonts w:hint="eastAsia" w:ascii="宋体" w:hAnsi="宋体" w:cs="宋体"/>
          <w:color w:val="000000"/>
          <w:sz w:val="28"/>
          <w:szCs w:val="28"/>
        </w:rPr>
        <w:t>10.医疗卫生与计划生育210（类）10（款）02（项）:</w:t>
      </w:r>
      <w:r>
        <w:rPr>
          <w:rStyle w:val="13"/>
          <w:rFonts w:hint="eastAsia" w:ascii="宋体" w:hAnsi="宋体" w:cs="宋体"/>
          <w:b w:val="0"/>
          <w:bCs w:val="0"/>
          <w:color w:val="000000"/>
          <w:sz w:val="28"/>
          <w:szCs w:val="28"/>
        </w:rPr>
        <w:t>事业单位医疗支出</w:t>
      </w:r>
      <w:r>
        <w:rPr>
          <w:rStyle w:val="13"/>
          <w:rFonts w:hint="eastAsia" w:ascii="宋体" w:hAnsi="宋体" w:cs="宋体"/>
          <w:b w:val="0"/>
          <w:color w:val="000000"/>
          <w:sz w:val="28"/>
          <w:szCs w:val="28"/>
        </w:rPr>
        <w:t>决算为0万元，占支出0%。</w:t>
      </w:r>
    </w:p>
    <w:p>
      <w:pPr>
        <w:spacing w:line="600" w:lineRule="exact"/>
        <w:ind w:firstLine="640"/>
        <w:rPr>
          <w:rStyle w:val="13"/>
          <w:rFonts w:ascii="仿宋" w:hAnsi="仿宋" w:eastAsia="仿宋" w:cs="仿宋"/>
          <w:b w:val="0"/>
          <w:color w:val="000000"/>
          <w:sz w:val="28"/>
          <w:szCs w:val="28"/>
        </w:rPr>
      </w:pPr>
      <w:r>
        <w:rPr>
          <w:rStyle w:val="13"/>
          <w:rFonts w:hint="eastAsia" w:ascii="宋体" w:hAnsi="宋体" w:cs="宋体"/>
          <w:color w:val="000000"/>
          <w:sz w:val="28"/>
          <w:szCs w:val="28"/>
        </w:rPr>
        <w:t>11.医疗卫生与计划生育210（类）10（款）03（项）:</w:t>
      </w:r>
      <w:r>
        <w:rPr>
          <w:rStyle w:val="13"/>
          <w:rFonts w:hint="eastAsia" w:ascii="宋体" w:hAnsi="宋体" w:cs="宋体"/>
          <w:b w:val="0"/>
          <w:bCs w:val="0"/>
          <w:color w:val="000000"/>
          <w:sz w:val="28"/>
          <w:szCs w:val="28"/>
        </w:rPr>
        <w:t>公务员医疗补助支出决算为0.63万元，占</w:t>
      </w:r>
      <w:r>
        <w:rPr>
          <w:rStyle w:val="13"/>
          <w:rFonts w:hint="eastAsia" w:ascii="宋体" w:hAnsi="宋体" w:cs="宋体"/>
          <w:b w:val="0"/>
          <w:color w:val="000000"/>
          <w:sz w:val="28"/>
          <w:szCs w:val="28"/>
        </w:rPr>
        <w:t>支出0.20%。</w:t>
      </w:r>
    </w:p>
    <w:p>
      <w:pPr>
        <w:spacing w:line="600" w:lineRule="exact"/>
        <w:ind w:firstLine="640"/>
        <w:rPr>
          <w:rStyle w:val="13"/>
          <w:rFonts w:ascii="宋体" w:hAnsi="宋体" w:cs="宋体"/>
          <w:b w:val="0"/>
          <w:color w:val="000000"/>
          <w:sz w:val="28"/>
          <w:szCs w:val="28"/>
        </w:rPr>
      </w:pPr>
      <w:r>
        <w:rPr>
          <w:rStyle w:val="13"/>
          <w:rFonts w:hint="eastAsia" w:ascii="宋体" w:hAnsi="宋体" w:cs="宋体"/>
          <w:color w:val="000000"/>
          <w:sz w:val="28"/>
          <w:szCs w:val="28"/>
        </w:rPr>
        <w:t>12.住房保障类221（类）02（款）01（项）:</w:t>
      </w:r>
      <w:r>
        <w:rPr>
          <w:rStyle w:val="13"/>
          <w:rFonts w:hint="eastAsia" w:ascii="宋体" w:hAnsi="宋体" w:cs="宋体"/>
          <w:b w:val="0"/>
          <w:color w:val="000000"/>
          <w:sz w:val="28"/>
          <w:szCs w:val="28"/>
        </w:rPr>
        <w:t xml:space="preserve"> 支出决算为11.01万元，占支出3.56%。</w:t>
      </w:r>
    </w:p>
    <w:p>
      <w:pPr>
        <w:jc w:val="center"/>
      </w:pPr>
      <w:r>
        <w:rPr>
          <w:rFonts w:hint="eastAsia" w:ascii="仿宋" w:hAnsi="仿宋" w:eastAsia="仿宋"/>
          <w:color w:val="000000"/>
          <w:sz w:val="28"/>
          <w:szCs w:val="28"/>
        </w:rPr>
        <w:t>（图6：一般公共预算财政拨款支出决算结构图）</w:t>
      </w:r>
      <w:r>
        <w:drawing>
          <wp:inline distT="0" distB="0" distL="0" distR="0">
            <wp:extent cx="5398770" cy="3550920"/>
            <wp:effectExtent l="19050" t="0" r="1143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3" w:firstLineChars="200"/>
        <w:outlineLvl w:val="2"/>
        <w:rPr>
          <w:rFonts w:ascii="新宋体" w:hAnsi="新宋体" w:eastAsia="新宋体" w:cs="新宋体"/>
          <w:b/>
          <w:color w:val="000000"/>
          <w:sz w:val="28"/>
          <w:szCs w:val="28"/>
        </w:rPr>
      </w:pPr>
      <w:bookmarkStart w:id="24" w:name="_Toc15377212"/>
      <w:r>
        <w:rPr>
          <w:rFonts w:hint="eastAsia" w:ascii="新宋体" w:hAnsi="新宋体" w:eastAsia="新宋体" w:cs="新宋体"/>
          <w:b/>
          <w:color w:val="000000"/>
          <w:sz w:val="32"/>
          <w:szCs w:val="32"/>
        </w:rPr>
        <w:t>（</w:t>
      </w:r>
      <w:r>
        <w:rPr>
          <w:rFonts w:hint="eastAsia" w:ascii="新宋体" w:hAnsi="新宋体" w:eastAsia="新宋体" w:cs="新宋体"/>
          <w:b/>
          <w:color w:val="000000"/>
          <w:sz w:val="28"/>
          <w:szCs w:val="28"/>
        </w:rPr>
        <w:t>三）一般公共预算财政拨款支出决算具体情况</w:t>
      </w:r>
      <w:bookmarkEnd w:id="24"/>
    </w:p>
    <w:p>
      <w:pPr>
        <w:spacing w:line="600" w:lineRule="exact"/>
        <w:ind w:firstLine="562" w:firstLineChars="200"/>
        <w:outlineLvl w:val="2"/>
        <w:rPr>
          <w:rStyle w:val="13"/>
          <w:rFonts w:ascii="新宋体" w:hAnsi="新宋体" w:eastAsia="新宋体" w:cs="新宋体"/>
          <w:color w:val="000000"/>
          <w:sz w:val="28"/>
          <w:szCs w:val="28"/>
        </w:rPr>
      </w:pPr>
      <w:bookmarkStart w:id="25" w:name="_Toc15378460"/>
      <w:bookmarkStart w:id="26" w:name="_Toc15377213"/>
      <w:bookmarkStart w:id="27" w:name="_Toc15377444"/>
      <w:r>
        <w:rPr>
          <w:rFonts w:hint="eastAsia" w:ascii="新宋体" w:hAnsi="新宋体" w:eastAsia="新宋体" w:cs="新宋体"/>
          <w:b/>
          <w:color w:val="000000" w:themeColor="text1"/>
          <w:sz w:val="28"/>
          <w:szCs w:val="28"/>
        </w:rPr>
        <w:t>2019年般公共预算支出决算数为309.19万元</w:t>
      </w:r>
      <w:r>
        <w:rPr>
          <w:rFonts w:hint="eastAsia" w:ascii="新宋体" w:hAnsi="新宋体" w:eastAsia="新宋体" w:cs="新宋体"/>
          <w:color w:val="000000" w:themeColor="text1"/>
          <w:sz w:val="28"/>
          <w:szCs w:val="28"/>
        </w:rPr>
        <w:t>，</w:t>
      </w:r>
      <w:r>
        <w:rPr>
          <w:rStyle w:val="13"/>
          <w:rFonts w:hint="eastAsia" w:ascii="新宋体" w:hAnsi="新宋体" w:eastAsia="新宋体" w:cs="新宋体"/>
          <w:color w:val="000000" w:themeColor="text1"/>
          <w:sz w:val="28"/>
          <w:szCs w:val="28"/>
        </w:rPr>
        <w:t>完成</w:t>
      </w:r>
      <w:r>
        <w:rPr>
          <w:rStyle w:val="13"/>
          <w:rFonts w:hint="eastAsia" w:ascii="新宋体" w:hAnsi="新宋体" w:eastAsia="新宋体" w:cs="新宋体"/>
          <w:color w:val="000000"/>
          <w:sz w:val="28"/>
          <w:szCs w:val="28"/>
        </w:rPr>
        <w:t>预算100%。其中：</w:t>
      </w:r>
      <w:bookmarkEnd w:id="25"/>
      <w:bookmarkEnd w:id="26"/>
      <w:bookmarkEnd w:id="27"/>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1.一般公共服务201（类）26（款）01（项）:</w:t>
      </w:r>
      <w:r>
        <w:rPr>
          <w:rStyle w:val="13"/>
          <w:rFonts w:hint="eastAsia" w:ascii="宋体" w:hAnsi="宋体" w:cs="宋体"/>
          <w:b w:val="0"/>
          <w:color w:val="000000"/>
          <w:sz w:val="28"/>
          <w:szCs w:val="28"/>
        </w:rPr>
        <w:t xml:space="preserve"> 行政运行支出决算为107.70万元，完成预算100%，决算数等于预算数。</w:t>
      </w:r>
    </w:p>
    <w:p>
      <w:pPr>
        <w:spacing w:line="600" w:lineRule="exact"/>
        <w:ind w:firstLine="562" w:firstLineChars="200"/>
        <w:rPr>
          <w:rFonts w:ascii="新宋体" w:hAnsi="新宋体" w:eastAsia="新宋体"/>
          <w:color w:val="000000"/>
          <w:sz w:val="28"/>
          <w:szCs w:val="28"/>
        </w:rPr>
      </w:pPr>
      <w:r>
        <w:rPr>
          <w:rFonts w:hint="eastAsia" w:ascii="新宋体" w:hAnsi="新宋体" w:eastAsia="新宋体"/>
          <w:b/>
          <w:color w:val="000000"/>
          <w:sz w:val="28"/>
          <w:szCs w:val="28"/>
        </w:rPr>
        <w:t>2.</w:t>
      </w:r>
      <w:r>
        <w:rPr>
          <w:rFonts w:ascii="新宋体" w:hAnsi="新宋体" w:eastAsia="新宋体"/>
          <w:b/>
          <w:color w:val="000000"/>
          <w:sz w:val="28"/>
          <w:szCs w:val="28"/>
        </w:rPr>
        <w:t>一般公共服务201（类）26（款）04（项）:</w:t>
      </w:r>
      <w:r>
        <w:rPr>
          <w:rFonts w:ascii="新宋体" w:hAnsi="新宋体" w:eastAsia="新宋体"/>
          <w:color w:val="000000"/>
          <w:sz w:val="28"/>
          <w:szCs w:val="28"/>
        </w:rPr>
        <w:t xml:space="preserve"> 档案馆建设专项支出决算数为</w:t>
      </w:r>
      <w:r>
        <w:rPr>
          <w:rFonts w:hint="eastAsia" w:ascii="新宋体" w:hAnsi="新宋体" w:eastAsia="新宋体"/>
          <w:color w:val="000000"/>
          <w:sz w:val="28"/>
          <w:szCs w:val="28"/>
        </w:rPr>
        <w:t>150.87</w:t>
      </w:r>
      <w:r>
        <w:rPr>
          <w:rFonts w:ascii="新宋体" w:hAnsi="新宋体" w:eastAsia="新宋体"/>
          <w:color w:val="000000"/>
          <w:sz w:val="28"/>
          <w:szCs w:val="28"/>
        </w:rPr>
        <w:t>万元，</w:t>
      </w:r>
      <w:r>
        <w:rPr>
          <w:rStyle w:val="13"/>
          <w:rFonts w:hint="eastAsia" w:ascii="宋体" w:hAnsi="宋体" w:cs="宋体"/>
          <w:b w:val="0"/>
          <w:color w:val="000000"/>
          <w:sz w:val="28"/>
          <w:szCs w:val="28"/>
        </w:rPr>
        <w:t>完成预算100%，决算数等于预算数。</w:t>
      </w:r>
    </w:p>
    <w:p>
      <w:pPr>
        <w:spacing w:line="600" w:lineRule="exact"/>
        <w:ind w:firstLine="562" w:firstLineChars="200"/>
        <w:rPr>
          <w:rStyle w:val="13"/>
          <w:rFonts w:ascii="宋体" w:hAnsi="宋体" w:cs="宋体"/>
          <w:b w:val="0"/>
          <w:color w:val="000000"/>
          <w:sz w:val="28"/>
          <w:szCs w:val="28"/>
        </w:rPr>
      </w:pPr>
      <w:r>
        <w:rPr>
          <w:rFonts w:hint="eastAsia" w:ascii="新宋体" w:hAnsi="新宋体" w:eastAsia="新宋体"/>
          <w:b/>
          <w:color w:val="000000"/>
          <w:sz w:val="28"/>
          <w:szCs w:val="28"/>
        </w:rPr>
        <w:t>3.</w:t>
      </w:r>
      <w:r>
        <w:rPr>
          <w:rFonts w:ascii="新宋体" w:hAnsi="新宋体" w:eastAsia="新宋体"/>
          <w:b/>
          <w:color w:val="000000"/>
          <w:sz w:val="28"/>
          <w:szCs w:val="28"/>
        </w:rPr>
        <w:t>一般公共服务201（类）26（款）99（项）:</w:t>
      </w:r>
      <w:r>
        <w:rPr>
          <w:rFonts w:ascii="新宋体" w:hAnsi="新宋体" w:eastAsia="新宋体"/>
          <w:color w:val="000000"/>
          <w:sz w:val="28"/>
          <w:szCs w:val="28"/>
        </w:rPr>
        <w:t xml:space="preserve"> </w:t>
      </w:r>
      <w:r>
        <w:rPr>
          <w:rFonts w:hint="eastAsia" w:ascii="新宋体" w:hAnsi="新宋体" w:eastAsia="新宋体"/>
          <w:color w:val="000000"/>
          <w:sz w:val="28"/>
          <w:szCs w:val="28"/>
        </w:rPr>
        <w:t>其他档案事务</w:t>
      </w:r>
      <w:r>
        <w:rPr>
          <w:rFonts w:ascii="新宋体" w:hAnsi="新宋体" w:eastAsia="新宋体"/>
          <w:color w:val="000000"/>
          <w:sz w:val="28"/>
          <w:szCs w:val="28"/>
        </w:rPr>
        <w:t>档案保管保护专项支出决算数为</w:t>
      </w:r>
      <w:r>
        <w:rPr>
          <w:rFonts w:hint="eastAsia" w:ascii="新宋体" w:hAnsi="新宋体" w:eastAsia="新宋体"/>
          <w:color w:val="000000"/>
          <w:sz w:val="28"/>
          <w:szCs w:val="28"/>
        </w:rPr>
        <w:t>20.24</w:t>
      </w:r>
      <w:r>
        <w:rPr>
          <w:rFonts w:ascii="新宋体" w:hAnsi="新宋体" w:eastAsia="新宋体"/>
          <w:color w:val="000000"/>
          <w:sz w:val="28"/>
          <w:szCs w:val="28"/>
        </w:rPr>
        <w:t>万元，</w:t>
      </w:r>
      <w:r>
        <w:rPr>
          <w:rStyle w:val="13"/>
          <w:rFonts w:hint="eastAsia" w:ascii="宋体" w:hAnsi="宋体" w:cs="宋体"/>
          <w:b w:val="0"/>
          <w:color w:val="000000"/>
          <w:sz w:val="28"/>
          <w:szCs w:val="28"/>
        </w:rPr>
        <w:t>完成预算100%，决算数等于预算数。</w:t>
      </w:r>
      <w:r>
        <w:rPr>
          <w:rFonts w:hint="eastAsia" w:ascii="新宋体" w:hAnsi="新宋体" w:eastAsia="新宋体" w:cs="新宋体"/>
          <w:color w:val="000000"/>
          <w:sz w:val="28"/>
          <w:szCs w:val="28"/>
        </w:rPr>
        <w:t>档案</w:t>
      </w:r>
      <w:r>
        <w:rPr>
          <w:rFonts w:hint="eastAsia" w:ascii="新宋体" w:hAnsi="新宋体" w:eastAsia="新宋体"/>
          <w:color w:val="000000"/>
          <w:sz w:val="28"/>
          <w:szCs w:val="28"/>
        </w:rPr>
        <w:t>保管保护专项</w:t>
      </w:r>
      <w:r>
        <w:rPr>
          <w:rFonts w:ascii="新宋体" w:hAnsi="新宋体" w:eastAsia="新宋体"/>
          <w:color w:val="000000"/>
          <w:sz w:val="28"/>
          <w:szCs w:val="28"/>
        </w:rPr>
        <w:t>用于县档案馆的档案保管、档案保护、档案整理</w:t>
      </w:r>
      <w:r>
        <w:rPr>
          <w:rFonts w:hint="eastAsia" w:ascii="新宋体" w:hAnsi="新宋体" w:eastAsia="新宋体"/>
          <w:color w:val="000000"/>
          <w:sz w:val="28"/>
          <w:szCs w:val="28"/>
        </w:rPr>
        <w:t>劳务费</w:t>
      </w:r>
      <w:r>
        <w:rPr>
          <w:rFonts w:ascii="新宋体" w:hAnsi="新宋体" w:eastAsia="新宋体"/>
          <w:color w:val="000000"/>
          <w:sz w:val="28"/>
          <w:szCs w:val="28"/>
        </w:rPr>
        <w:t>、临聘人员工资和档案设</w:t>
      </w:r>
      <w:r>
        <w:rPr>
          <w:rFonts w:hint="eastAsia" w:ascii="新宋体" w:hAnsi="新宋体" w:eastAsia="新宋体"/>
          <w:color w:val="000000"/>
          <w:sz w:val="28"/>
          <w:szCs w:val="28"/>
        </w:rPr>
        <w:t>备购</w:t>
      </w:r>
      <w:r>
        <w:rPr>
          <w:rFonts w:ascii="新宋体" w:hAnsi="新宋体" w:eastAsia="新宋体"/>
          <w:color w:val="000000"/>
          <w:sz w:val="28"/>
          <w:szCs w:val="28"/>
        </w:rPr>
        <w:t>置</w:t>
      </w:r>
      <w:r>
        <w:rPr>
          <w:rFonts w:hint="eastAsia" w:ascii="新宋体" w:hAnsi="新宋体" w:eastAsia="新宋体"/>
          <w:color w:val="000000"/>
          <w:sz w:val="28"/>
          <w:szCs w:val="28"/>
        </w:rPr>
        <w:t>及</w:t>
      </w:r>
      <w:r>
        <w:rPr>
          <w:rFonts w:ascii="新宋体" w:hAnsi="新宋体" w:eastAsia="新宋体"/>
          <w:color w:val="000000"/>
          <w:sz w:val="28"/>
          <w:szCs w:val="28"/>
        </w:rPr>
        <w:t>维修等经费。</w:t>
      </w:r>
    </w:p>
    <w:p>
      <w:pPr>
        <w:spacing w:line="600" w:lineRule="exact"/>
        <w:ind w:firstLine="562" w:firstLineChars="200"/>
        <w:rPr>
          <w:rFonts w:ascii="宋体" w:hAnsi="宋体" w:cs="宋体"/>
          <w:b/>
          <w:color w:val="000000"/>
          <w:sz w:val="28"/>
          <w:szCs w:val="28"/>
        </w:rPr>
      </w:pPr>
      <w:r>
        <w:rPr>
          <w:rStyle w:val="13"/>
          <w:rFonts w:hint="eastAsia" w:ascii="宋体" w:hAnsi="宋体" w:cs="宋体"/>
          <w:color w:val="000000"/>
          <w:sz w:val="28"/>
          <w:szCs w:val="28"/>
        </w:rPr>
        <w:t>4.教育（类）***（款）***（项）:</w:t>
      </w:r>
      <w:r>
        <w:rPr>
          <w:rStyle w:val="13"/>
          <w:rFonts w:hint="eastAsia" w:ascii="宋体" w:hAnsi="宋体" w:cs="宋体"/>
          <w:b w:val="0"/>
          <w:color w:val="000000"/>
          <w:sz w:val="28"/>
          <w:szCs w:val="28"/>
        </w:rPr>
        <w:t xml:space="preserve"> 支出决算为0万元，占支出0%，主要原因是年初无此预算。</w:t>
      </w:r>
    </w:p>
    <w:p>
      <w:pPr>
        <w:spacing w:line="600" w:lineRule="exact"/>
        <w:ind w:firstLine="562" w:firstLineChars="200"/>
        <w:rPr>
          <w:rFonts w:ascii="宋体" w:hAnsi="宋体" w:cs="宋体"/>
          <w:b/>
          <w:color w:val="000000"/>
          <w:sz w:val="28"/>
          <w:szCs w:val="28"/>
        </w:rPr>
      </w:pPr>
      <w:r>
        <w:rPr>
          <w:rStyle w:val="13"/>
          <w:rFonts w:hint="eastAsia" w:ascii="宋体" w:hAnsi="宋体" w:cs="宋体"/>
          <w:color w:val="000000"/>
          <w:sz w:val="28"/>
          <w:szCs w:val="28"/>
        </w:rPr>
        <w:t>5.科学技术（类）***（款）***（项）:</w:t>
      </w:r>
      <w:r>
        <w:rPr>
          <w:rStyle w:val="13"/>
          <w:rFonts w:hint="eastAsia" w:ascii="宋体" w:hAnsi="宋体" w:cs="宋体"/>
          <w:b w:val="0"/>
          <w:color w:val="000000"/>
          <w:sz w:val="28"/>
          <w:szCs w:val="28"/>
        </w:rPr>
        <w:t xml:space="preserve"> 支出决算为0万元，占支出0%，主要原因是年初无此预算。</w:t>
      </w:r>
    </w:p>
    <w:p>
      <w:pPr>
        <w:spacing w:line="600" w:lineRule="exact"/>
        <w:ind w:firstLine="562" w:firstLineChars="200"/>
        <w:rPr>
          <w:rFonts w:ascii="宋体" w:hAnsi="宋体" w:cs="宋体"/>
          <w:b/>
          <w:color w:val="000000"/>
          <w:sz w:val="28"/>
          <w:szCs w:val="28"/>
        </w:rPr>
      </w:pPr>
      <w:r>
        <w:rPr>
          <w:rStyle w:val="13"/>
          <w:rFonts w:hint="eastAsia" w:ascii="宋体" w:hAnsi="宋体" w:cs="宋体"/>
          <w:color w:val="000000"/>
          <w:sz w:val="28"/>
          <w:szCs w:val="28"/>
        </w:rPr>
        <w:t>6.文化体育与传媒（类）***（款）***（项）:</w:t>
      </w:r>
      <w:r>
        <w:rPr>
          <w:rStyle w:val="13"/>
          <w:rFonts w:hint="eastAsia" w:ascii="宋体" w:hAnsi="宋体" w:cs="宋体"/>
          <w:b w:val="0"/>
          <w:color w:val="000000"/>
          <w:sz w:val="28"/>
          <w:szCs w:val="28"/>
        </w:rPr>
        <w:t xml:space="preserve"> 支出决算为0万元，占支出0%，主要原因是年初无此预算。</w:t>
      </w:r>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7.社会保障和就业208（类）05（款）05（项）:</w:t>
      </w:r>
      <w:r>
        <w:rPr>
          <w:rStyle w:val="13"/>
          <w:rFonts w:hint="eastAsia" w:ascii="宋体" w:hAnsi="宋体" w:cs="宋体"/>
          <w:b w:val="0"/>
          <w:color w:val="000000"/>
          <w:sz w:val="28"/>
          <w:szCs w:val="28"/>
        </w:rPr>
        <w:t xml:space="preserve"> 机关事业单位养老保险缴费支出决算为11.04万元，完成预算100%，决算数等于预算数。</w:t>
      </w:r>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8.社会保障和就业208（类）05（款）06（项）:</w:t>
      </w:r>
      <w:r>
        <w:rPr>
          <w:rStyle w:val="13"/>
          <w:rFonts w:hint="eastAsia" w:ascii="仿宋" w:hAnsi="仿宋" w:eastAsia="仿宋" w:cs="仿宋"/>
          <w:b w:val="0"/>
          <w:color w:val="000000"/>
          <w:sz w:val="28"/>
          <w:szCs w:val="28"/>
        </w:rPr>
        <w:t xml:space="preserve"> </w:t>
      </w:r>
      <w:r>
        <w:rPr>
          <w:rFonts w:hint="eastAsia" w:ascii="新宋体" w:hAnsi="新宋体" w:eastAsia="新宋体" w:cs="新宋体"/>
          <w:color w:val="000000"/>
          <w:kern w:val="0"/>
          <w:sz w:val="28"/>
          <w:szCs w:val="28"/>
        </w:rPr>
        <w:t>机关事业单位职业年金缴费支出</w:t>
      </w:r>
      <w:r>
        <w:rPr>
          <w:rStyle w:val="13"/>
          <w:rFonts w:hint="eastAsia" w:ascii="新宋体" w:hAnsi="新宋体" w:eastAsia="新宋体" w:cs="新宋体"/>
          <w:b w:val="0"/>
          <w:color w:val="000000"/>
          <w:sz w:val="28"/>
          <w:szCs w:val="28"/>
        </w:rPr>
        <w:t>支出决算为3.16万元，</w:t>
      </w:r>
      <w:r>
        <w:rPr>
          <w:rStyle w:val="13"/>
          <w:rFonts w:hint="eastAsia" w:ascii="宋体" w:hAnsi="宋体" w:cs="宋体"/>
          <w:b w:val="0"/>
          <w:color w:val="000000"/>
          <w:sz w:val="28"/>
          <w:szCs w:val="28"/>
        </w:rPr>
        <w:t>完成预算100%，决算数等于预算数。</w:t>
      </w:r>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9.医疗卫生与计划生育210（类）10（款）01（项）:</w:t>
      </w:r>
      <w:r>
        <w:rPr>
          <w:rStyle w:val="13"/>
          <w:rFonts w:hint="eastAsia" w:ascii="宋体" w:hAnsi="宋体" w:cs="宋体"/>
          <w:b w:val="0"/>
          <w:bCs w:val="0"/>
          <w:color w:val="000000"/>
          <w:sz w:val="28"/>
          <w:szCs w:val="28"/>
        </w:rPr>
        <w:t>行政单位医疗支出决算为4.54万元，</w:t>
      </w:r>
      <w:r>
        <w:rPr>
          <w:rStyle w:val="13"/>
          <w:rFonts w:hint="eastAsia" w:ascii="宋体" w:hAnsi="宋体" w:cs="宋体"/>
          <w:b w:val="0"/>
          <w:color w:val="000000"/>
          <w:sz w:val="28"/>
          <w:szCs w:val="28"/>
        </w:rPr>
        <w:t>完成预算100%，决算数等于预算数。</w:t>
      </w:r>
    </w:p>
    <w:p>
      <w:pPr>
        <w:spacing w:line="600" w:lineRule="exact"/>
        <w:ind w:firstLine="562" w:firstLineChars="200"/>
        <w:rPr>
          <w:rStyle w:val="13"/>
          <w:rFonts w:ascii="宋体" w:hAnsi="宋体" w:cs="宋体"/>
          <w:b w:val="0"/>
          <w:color w:val="000000"/>
          <w:sz w:val="28"/>
          <w:szCs w:val="28"/>
        </w:rPr>
      </w:pPr>
      <w:r>
        <w:rPr>
          <w:rStyle w:val="13"/>
          <w:rFonts w:hint="eastAsia" w:ascii="宋体" w:hAnsi="宋体" w:cs="宋体"/>
          <w:color w:val="000000"/>
          <w:sz w:val="28"/>
          <w:szCs w:val="28"/>
        </w:rPr>
        <w:t>10.医疗卫生与计划生育210（类）10（款）02（项）:</w:t>
      </w:r>
      <w:r>
        <w:rPr>
          <w:rStyle w:val="13"/>
          <w:rFonts w:hint="eastAsia" w:ascii="宋体" w:hAnsi="宋体" w:cs="宋体"/>
          <w:b w:val="0"/>
          <w:bCs w:val="0"/>
          <w:color w:val="000000"/>
          <w:sz w:val="28"/>
          <w:szCs w:val="28"/>
        </w:rPr>
        <w:t>事业单位医疗支出</w:t>
      </w:r>
      <w:r>
        <w:rPr>
          <w:rStyle w:val="13"/>
          <w:rFonts w:hint="eastAsia" w:ascii="宋体" w:hAnsi="宋体" w:cs="宋体"/>
          <w:b w:val="0"/>
          <w:color w:val="000000"/>
          <w:sz w:val="28"/>
          <w:szCs w:val="28"/>
        </w:rPr>
        <w:t>决算为0万元，完成预算100%，决算数等于预算数。</w:t>
      </w:r>
    </w:p>
    <w:p>
      <w:pPr>
        <w:spacing w:line="600" w:lineRule="exact"/>
        <w:ind w:firstLine="640"/>
        <w:rPr>
          <w:rStyle w:val="13"/>
          <w:rFonts w:ascii="仿宋" w:hAnsi="仿宋" w:eastAsia="仿宋" w:cs="仿宋"/>
          <w:b w:val="0"/>
          <w:color w:val="000000"/>
          <w:sz w:val="28"/>
          <w:szCs w:val="28"/>
        </w:rPr>
      </w:pPr>
      <w:r>
        <w:rPr>
          <w:rStyle w:val="13"/>
          <w:rFonts w:hint="eastAsia" w:ascii="宋体" w:hAnsi="宋体" w:cs="宋体"/>
          <w:color w:val="000000"/>
          <w:sz w:val="28"/>
          <w:szCs w:val="28"/>
        </w:rPr>
        <w:t>11.医疗卫生与计划生育210（类）10（款）03（项）:</w:t>
      </w:r>
      <w:r>
        <w:rPr>
          <w:rStyle w:val="13"/>
          <w:rFonts w:hint="eastAsia" w:ascii="宋体" w:hAnsi="宋体" w:cs="宋体"/>
          <w:b w:val="0"/>
          <w:bCs w:val="0"/>
          <w:color w:val="000000"/>
          <w:sz w:val="28"/>
          <w:szCs w:val="28"/>
        </w:rPr>
        <w:t>公务员医疗补助支出决算为0.63万元，</w:t>
      </w:r>
      <w:r>
        <w:rPr>
          <w:rStyle w:val="13"/>
          <w:rFonts w:hint="eastAsia" w:ascii="宋体" w:hAnsi="宋体" w:cs="宋体"/>
          <w:b w:val="0"/>
          <w:color w:val="000000"/>
          <w:sz w:val="28"/>
          <w:szCs w:val="28"/>
        </w:rPr>
        <w:t>完成预算100%，决算数等于预算数。</w:t>
      </w:r>
    </w:p>
    <w:p>
      <w:pPr>
        <w:spacing w:line="600" w:lineRule="exact"/>
        <w:ind w:firstLine="640"/>
        <w:rPr>
          <w:rStyle w:val="13"/>
          <w:rFonts w:ascii="新宋体" w:hAnsi="新宋体" w:eastAsia="新宋体" w:cs="新宋体"/>
          <w:color w:val="000000"/>
          <w:sz w:val="28"/>
          <w:szCs w:val="28"/>
        </w:rPr>
      </w:pPr>
      <w:r>
        <w:rPr>
          <w:rStyle w:val="13"/>
          <w:rFonts w:hint="eastAsia" w:ascii="宋体" w:hAnsi="宋体" w:cs="宋体"/>
          <w:color w:val="000000"/>
          <w:sz w:val="28"/>
          <w:szCs w:val="28"/>
        </w:rPr>
        <w:t>12.住房保障类221（类）02（款）01（项）:</w:t>
      </w:r>
      <w:r>
        <w:rPr>
          <w:rStyle w:val="13"/>
          <w:rFonts w:hint="eastAsia" w:ascii="宋体" w:hAnsi="宋体" w:cs="宋体"/>
          <w:b w:val="0"/>
          <w:color w:val="000000"/>
          <w:sz w:val="28"/>
          <w:szCs w:val="28"/>
        </w:rPr>
        <w:t xml:space="preserve"> 支出决算为11.01万元，完成预算100%，决算数等于预算数。</w:t>
      </w:r>
    </w:p>
    <w:p>
      <w:pPr>
        <w:spacing w:line="600" w:lineRule="exact"/>
        <w:ind w:firstLine="640"/>
        <w:rPr>
          <w:rFonts w:ascii="新宋体" w:hAnsi="新宋体" w:eastAsia="新宋体" w:cs="新宋体"/>
          <w:b/>
          <w:color w:val="000000"/>
          <w:sz w:val="28"/>
          <w:szCs w:val="28"/>
        </w:rPr>
      </w:pPr>
      <w:r>
        <w:rPr>
          <w:rFonts w:hint="eastAsia" w:ascii="新宋体" w:hAnsi="新宋体" w:eastAsia="新宋体" w:cs="新宋体"/>
          <w:b/>
          <w:color w:val="000000"/>
          <w:sz w:val="28"/>
          <w:szCs w:val="28"/>
        </w:rPr>
        <w:t>（数据来源财决08表，罗列全部功能分类科目至项级。上述“预算”口径为调整预算数。增减变动原因为决算数&lt;项级&gt;和调整预算数&lt;项级&gt;比较，与预算数持平可以不写原因。）</w:t>
      </w:r>
    </w:p>
    <w:p>
      <w:pPr>
        <w:tabs>
          <w:tab w:val="right" w:pos="8306"/>
        </w:tabs>
        <w:spacing w:line="600" w:lineRule="exact"/>
        <w:ind w:firstLine="640"/>
        <w:outlineLvl w:val="1"/>
        <w:rPr>
          <w:rStyle w:val="21"/>
          <w:rFonts w:ascii="新宋体" w:hAnsi="新宋体" w:eastAsia="新宋体" w:cs="新宋体"/>
          <w:sz w:val="28"/>
          <w:szCs w:val="28"/>
        </w:rPr>
      </w:pPr>
      <w:bookmarkStart w:id="28" w:name="_Toc15377214"/>
      <w:bookmarkStart w:id="29" w:name="_Toc15396608"/>
      <w:r>
        <w:rPr>
          <w:rFonts w:hint="eastAsia" w:ascii="新宋体" w:hAnsi="新宋体" w:eastAsia="新宋体" w:cs="新宋体"/>
          <w:b/>
          <w:bCs/>
          <w:color w:val="000000"/>
          <w:sz w:val="28"/>
          <w:szCs w:val="28"/>
        </w:rPr>
        <w:t>六、一</w:t>
      </w:r>
      <w:r>
        <w:rPr>
          <w:rStyle w:val="21"/>
          <w:rFonts w:hint="eastAsia" w:ascii="新宋体" w:hAnsi="新宋体" w:eastAsia="新宋体" w:cs="新宋体"/>
          <w:sz w:val="28"/>
          <w:szCs w:val="28"/>
        </w:rPr>
        <w:t>般公共预算财政拨款基本支出决算情况说明</w:t>
      </w:r>
      <w:bookmarkEnd w:id="28"/>
      <w:bookmarkEnd w:id="29"/>
      <w:r>
        <w:rPr>
          <w:rStyle w:val="21"/>
          <w:rFonts w:hint="eastAsia" w:ascii="新宋体" w:hAnsi="新宋体" w:eastAsia="新宋体" w:cs="新宋体"/>
          <w:b w:val="0"/>
          <w:sz w:val="28"/>
          <w:szCs w:val="28"/>
        </w:rPr>
        <w:tab/>
      </w:r>
    </w:p>
    <w:p>
      <w:pPr>
        <w:spacing w:line="600" w:lineRule="exact"/>
        <w:ind w:firstLine="645"/>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2019年一般公共预算财政拨款基本支出138.08万元，其中：</w:t>
      </w:r>
    </w:p>
    <w:p>
      <w:pPr>
        <w:spacing w:line="600" w:lineRule="exact"/>
        <w:ind w:firstLine="645"/>
        <w:rPr>
          <w:rFonts w:ascii="新宋体" w:hAnsi="新宋体" w:eastAsia="新宋体" w:cs="新宋体"/>
          <w:color w:val="000000"/>
          <w:sz w:val="28"/>
          <w:szCs w:val="28"/>
        </w:rPr>
      </w:pPr>
      <w:r>
        <w:rPr>
          <w:rFonts w:hint="eastAsia" w:ascii="新宋体" w:hAnsi="新宋体" w:eastAsia="新宋体" w:cs="新宋体"/>
          <w:color w:val="000000"/>
          <w:sz w:val="28"/>
          <w:szCs w:val="28"/>
        </w:rPr>
        <w:t>人员经费112.43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hint="eastAsia" w:ascii="新宋体" w:hAnsi="新宋体" w:eastAsia="新宋体" w:cs="新宋体"/>
          <w:color w:val="000000"/>
          <w:sz w:val="28"/>
          <w:szCs w:val="28"/>
        </w:rPr>
        <w:br w:type="textWrapping"/>
      </w:r>
      <w:r>
        <w:rPr>
          <w:rFonts w:hint="eastAsia" w:ascii="新宋体" w:hAnsi="新宋体" w:eastAsia="新宋体" w:cs="新宋体"/>
          <w:color w:val="000000"/>
          <w:sz w:val="28"/>
          <w:szCs w:val="28"/>
        </w:rPr>
        <w:t>　　公用经费25.65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ascii="新宋体" w:hAnsi="新宋体" w:eastAsia="新宋体" w:cs="新宋体"/>
          <w:b/>
          <w:color w:val="FF0000"/>
          <w:sz w:val="28"/>
          <w:szCs w:val="28"/>
        </w:rPr>
      </w:pPr>
      <w:r>
        <w:rPr>
          <w:rFonts w:hint="eastAsia" w:ascii="新宋体" w:hAnsi="新宋体" w:eastAsia="新宋体" w:cs="新宋体"/>
          <w:b/>
          <w:color w:val="000000" w:themeColor="text1"/>
          <w:sz w:val="28"/>
          <w:szCs w:val="28"/>
        </w:rPr>
        <w:t>（数据来源财决07表，根据本部门实际支出情况罗列全部经济分类科目。）</w:t>
      </w:r>
    </w:p>
    <w:p>
      <w:pPr>
        <w:spacing w:line="600" w:lineRule="exact"/>
        <w:ind w:firstLine="640"/>
        <w:outlineLvl w:val="1"/>
        <w:rPr>
          <w:rStyle w:val="21"/>
          <w:rFonts w:ascii="新宋体" w:hAnsi="新宋体" w:eastAsia="新宋体" w:cs="新宋体"/>
          <w:sz w:val="28"/>
          <w:szCs w:val="28"/>
        </w:rPr>
      </w:pPr>
      <w:r>
        <w:rPr>
          <w:rFonts w:hint="eastAsia" w:ascii="新宋体" w:hAnsi="新宋体" w:eastAsia="新宋体" w:cs="新宋体"/>
          <w:b/>
          <w:bCs/>
          <w:color w:val="000000"/>
          <w:sz w:val="28"/>
          <w:szCs w:val="28"/>
        </w:rPr>
        <w:t>七、</w:t>
      </w:r>
      <w:r>
        <w:rPr>
          <w:rStyle w:val="21"/>
          <w:rFonts w:hint="eastAsia" w:ascii="新宋体" w:hAnsi="新宋体" w:eastAsia="新宋体" w:cs="新宋体"/>
          <w:sz w:val="28"/>
          <w:szCs w:val="28"/>
        </w:rPr>
        <w:t>“三公”经费财政拨款支出决算情况说明</w:t>
      </w:r>
    </w:p>
    <w:p>
      <w:pPr>
        <w:spacing w:line="600" w:lineRule="exact"/>
        <w:ind w:firstLine="640"/>
        <w:outlineLvl w:val="2"/>
        <w:rPr>
          <w:rFonts w:ascii="新宋体" w:hAnsi="新宋体" w:eastAsia="新宋体" w:cs="新宋体"/>
          <w:b/>
          <w:color w:val="000000"/>
          <w:sz w:val="28"/>
          <w:szCs w:val="28"/>
        </w:rPr>
      </w:pPr>
      <w:r>
        <w:rPr>
          <w:rFonts w:hint="eastAsia" w:ascii="新宋体" w:hAnsi="新宋体" w:eastAsia="新宋体" w:cs="新宋体"/>
          <w:b/>
          <w:color w:val="000000"/>
          <w:sz w:val="28"/>
          <w:szCs w:val="28"/>
        </w:rPr>
        <w:t>（一）“三公”经费财政拨款支出决算总体情况说明</w:t>
      </w:r>
    </w:p>
    <w:p>
      <w:pPr>
        <w:spacing w:line="600" w:lineRule="exact"/>
        <w:ind w:firstLine="64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2019年“三公”经费财政拨款支出决算为0.31万元，完成预算25.83%，决算数小于预算数的主要原因是资金紧缺，节省开支。主要用于执行公务、开展业务活动开支的交通费、住宿费、用餐费等。</w:t>
      </w:r>
    </w:p>
    <w:p>
      <w:pPr>
        <w:spacing w:line="600" w:lineRule="exact"/>
        <w:ind w:firstLine="640"/>
        <w:rPr>
          <w:rFonts w:ascii="新宋体" w:hAnsi="新宋体" w:eastAsia="新宋体" w:cs="新宋体"/>
          <w:b/>
          <w:color w:val="000000" w:themeColor="text1"/>
          <w:sz w:val="28"/>
          <w:szCs w:val="28"/>
        </w:rPr>
      </w:pPr>
      <w:r>
        <w:rPr>
          <w:rFonts w:hint="eastAsia" w:ascii="新宋体" w:hAnsi="新宋体" w:eastAsia="新宋体" w:cs="新宋体"/>
          <w:b/>
          <w:color w:val="000000"/>
          <w:sz w:val="28"/>
          <w:szCs w:val="28"/>
        </w:rPr>
        <w:t>（上述“预算”口径为调整预</w:t>
      </w:r>
      <w:r>
        <w:rPr>
          <w:rFonts w:hint="eastAsia" w:ascii="新宋体" w:hAnsi="新宋体" w:eastAsia="新宋体" w:cs="新宋体"/>
          <w:b/>
          <w:color w:val="000000" w:themeColor="text1"/>
          <w:sz w:val="28"/>
          <w:szCs w:val="28"/>
        </w:rPr>
        <w:t>算数，包括政府性基金支出决算情况。）</w:t>
      </w:r>
    </w:p>
    <w:p>
      <w:pPr>
        <w:spacing w:line="600" w:lineRule="exact"/>
        <w:ind w:firstLine="640"/>
        <w:outlineLvl w:val="2"/>
        <w:rPr>
          <w:rFonts w:ascii="新宋体" w:hAnsi="新宋体" w:eastAsia="新宋体" w:cs="新宋体"/>
          <w:b/>
          <w:color w:val="000000"/>
          <w:sz w:val="28"/>
          <w:szCs w:val="28"/>
        </w:rPr>
      </w:pPr>
      <w:r>
        <w:rPr>
          <w:rFonts w:hint="eastAsia" w:ascii="新宋体" w:hAnsi="新宋体" w:eastAsia="新宋体" w:cs="新宋体"/>
          <w:b/>
          <w:color w:val="000000"/>
          <w:sz w:val="28"/>
          <w:szCs w:val="28"/>
        </w:rPr>
        <w:t>（二）“三公”经费财政拨款支出决算具体情况说明</w:t>
      </w:r>
    </w:p>
    <w:p>
      <w:pPr>
        <w:spacing w:line="600" w:lineRule="exact"/>
        <w:ind w:firstLine="64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2019年“三公”经费财政拨款支出决算中，因公出国（境）费支出决算0万元，占0%；公务用车购置及运行维护费支出决算0万元，占0%；公务接待费支出决算0.31万元，占100%。具体情况如下：</w:t>
      </w:r>
    </w:p>
    <w:p>
      <w:pPr>
        <w:spacing w:line="600" w:lineRule="exact"/>
        <w:ind w:firstLine="640"/>
        <w:outlineLvl w:val="1"/>
        <w:rPr>
          <w:rFonts w:ascii="新宋体" w:hAnsi="新宋体" w:eastAsia="新宋体" w:cs="新宋体"/>
          <w:b/>
          <w:color w:val="000000" w:themeColor="text1"/>
          <w:sz w:val="28"/>
          <w:szCs w:val="28"/>
        </w:rPr>
      </w:pPr>
      <w:r>
        <w:rPr>
          <w:rFonts w:hint="eastAsia" w:ascii="新宋体" w:hAnsi="新宋体" w:eastAsia="新宋体" w:cs="新宋体"/>
          <w:color w:val="000000"/>
          <w:sz w:val="28"/>
          <w:szCs w:val="28"/>
        </w:rPr>
        <w:t>（图8：“三公”经费财政拨款支出结构）（饼状图）</w:t>
      </w:r>
    </w:p>
    <w:p>
      <w:pPr>
        <w:jc w:val="left"/>
      </w:pPr>
    </w:p>
    <w:p>
      <w:pPr>
        <w:jc w:val="center"/>
        <w:rPr>
          <w:rFonts w:ascii="仿宋" w:hAnsi="仿宋" w:eastAsia="仿宋"/>
          <w:color w:val="000000"/>
          <w:sz w:val="28"/>
          <w:szCs w:val="28"/>
        </w:rPr>
      </w:pPr>
      <w:bookmarkStart w:id="30" w:name="_Toc15377215"/>
      <w:bookmarkStart w:id="31" w:name="_Toc15396609"/>
      <w:r>
        <w:drawing>
          <wp:inline distT="0" distB="0" distL="0" distR="0">
            <wp:extent cx="5040630" cy="2644140"/>
            <wp:effectExtent l="19050" t="0" r="26670" b="38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bookmarkEnd w:id="30"/>
    <w:bookmarkEnd w:id="31"/>
    <w:p>
      <w:pPr>
        <w:spacing w:line="600" w:lineRule="exact"/>
        <w:ind w:firstLine="640"/>
        <w:rPr>
          <w:rFonts w:ascii="新宋体" w:hAnsi="新宋体" w:eastAsia="新宋体" w:cs="新宋体"/>
          <w:b/>
          <w:color w:val="000000"/>
          <w:sz w:val="28"/>
          <w:szCs w:val="28"/>
        </w:rPr>
      </w:pPr>
      <w:r>
        <w:rPr>
          <w:rFonts w:hint="eastAsia" w:ascii="新宋体" w:hAnsi="新宋体" w:eastAsia="新宋体" w:cs="新宋体"/>
          <w:b/>
          <w:color w:val="000000"/>
          <w:sz w:val="28"/>
          <w:szCs w:val="28"/>
        </w:rPr>
        <w:t>1.因公出国（境）经费支出</w:t>
      </w:r>
      <w:r>
        <w:rPr>
          <w:rFonts w:hint="eastAsia" w:ascii="新宋体" w:hAnsi="新宋体" w:eastAsia="新宋体" w:cs="新宋体"/>
          <w:color w:val="000000"/>
          <w:sz w:val="28"/>
          <w:szCs w:val="28"/>
        </w:rPr>
        <w:t>0万元，</w:t>
      </w:r>
      <w:r>
        <w:rPr>
          <w:rStyle w:val="13"/>
          <w:rFonts w:hint="eastAsia" w:ascii="新宋体" w:hAnsi="新宋体" w:eastAsia="新宋体" w:cs="新宋体"/>
          <w:b w:val="0"/>
          <w:color w:val="000000"/>
          <w:sz w:val="28"/>
          <w:szCs w:val="28"/>
        </w:rPr>
        <w:t>完成预算0%。</w:t>
      </w:r>
      <w:r>
        <w:rPr>
          <w:rFonts w:hint="eastAsia" w:ascii="新宋体" w:hAnsi="新宋体" w:eastAsia="新宋体" w:cs="新宋体"/>
          <w:color w:val="000000"/>
          <w:sz w:val="28"/>
          <w:szCs w:val="28"/>
        </w:rPr>
        <w:t>全年安排因公出国（境）团组0次，出国（境）0人。因公出国（境）支出决算比2018年增加/减少0万元，增长/下降0%。主要原因是年初无此预算。</w:t>
      </w:r>
    </w:p>
    <w:p>
      <w:pPr>
        <w:spacing w:line="600" w:lineRule="exact"/>
        <w:ind w:firstLine="640"/>
        <w:rPr>
          <w:rFonts w:ascii="新宋体" w:hAnsi="新宋体" w:eastAsia="新宋体" w:cs="新宋体"/>
          <w:b/>
          <w:color w:val="000000"/>
          <w:sz w:val="28"/>
          <w:szCs w:val="28"/>
        </w:rPr>
      </w:pPr>
      <w:r>
        <w:rPr>
          <w:rFonts w:hint="eastAsia" w:ascii="新宋体" w:hAnsi="新宋体" w:eastAsia="新宋体" w:cs="新宋体"/>
          <w:b/>
          <w:color w:val="000000"/>
          <w:sz w:val="28"/>
          <w:szCs w:val="28"/>
        </w:rPr>
        <w:t>2.公务用车购置及运行维护费支出</w:t>
      </w:r>
      <w:r>
        <w:rPr>
          <w:rFonts w:hint="eastAsia" w:ascii="新宋体" w:hAnsi="新宋体" w:eastAsia="新宋体" w:cs="新宋体"/>
          <w:color w:val="000000"/>
          <w:sz w:val="28"/>
          <w:szCs w:val="28"/>
        </w:rPr>
        <w:t>0万元,</w:t>
      </w:r>
      <w:r>
        <w:rPr>
          <w:rStyle w:val="13"/>
          <w:rFonts w:hint="eastAsia" w:ascii="新宋体" w:hAnsi="新宋体" w:eastAsia="新宋体" w:cs="新宋体"/>
          <w:b w:val="0"/>
          <w:color w:val="000000"/>
          <w:sz w:val="28"/>
          <w:szCs w:val="28"/>
        </w:rPr>
        <w:t>完成预算0%。</w:t>
      </w:r>
      <w:r>
        <w:rPr>
          <w:rFonts w:hint="eastAsia" w:ascii="新宋体" w:hAnsi="新宋体" w:eastAsia="新宋体" w:cs="新宋体"/>
          <w:color w:val="000000"/>
          <w:sz w:val="28"/>
          <w:szCs w:val="28"/>
        </w:rPr>
        <w:t>公务用车购置及运行维护费支出决算比2018年增加/减少0万元，增长/下降0%。主要原因是年初无此项预算。</w:t>
      </w:r>
    </w:p>
    <w:p>
      <w:pPr>
        <w:spacing w:line="600" w:lineRule="exact"/>
        <w:ind w:firstLine="560" w:firstLineChars="200"/>
        <w:rPr>
          <w:rFonts w:ascii="新宋体" w:hAnsi="新宋体" w:eastAsia="新宋体" w:cs="新宋体"/>
          <w:b/>
          <w:color w:val="000000"/>
          <w:sz w:val="28"/>
          <w:szCs w:val="28"/>
        </w:rPr>
      </w:pPr>
      <w:r>
        <w:rPr>
          <w:rFonts w:hint="eastAsia" w:ascii="新宋体" w:hAnsi="新宋体" w:eastAsia="新宋体" w:cs="新宋体"/>
          <w:color w:val="000000"/>
          <w:sz w:val="28"/>
          <w:szCs w:val="28"/>
        </w:rPr>
        <w:t>其中：</w:t>
      </w:r>
      <w:r>
        <w:rPr>
          <w:rFonts w:hint="eastAsia" w:ascii="新宋体" w:hAnsi="新宋体" w:eastAsia="新宋体" w:cs="新宋体"/>
          <w:b/>
          <w:color w:val="000000"/>
          <w:sz w:val="28"/>
          <w:szCs w:val="28"/>
        </w:rPr>
        <w:t>公务用车购置支出</w:t>
      </w:r>
      <w:r>
        <w:rPr>
          <w:rFonts w:hint="eastAsia" w:ascii="新宋体" w:hAnsi="新宋体" w:eastAsia="新宋体" w:cs="新宋体"/>
          <w:color w:val="000000"/>
          <w:sz w:val="28"/>
          <w:szCs w:val="28"/>
        </w:rPr>
        <w:t>0万元。全年按规定更新购置公务用车0辆，其中：轿车0辆、金额0万元，越野车0辆、金额0万元，载客汽车0辆、金额0万元，主要用于…。截至2019年12月底，单位共有公务用车0辆，其中：轿车0辆、越野车0辆、载客汽车0辆。</w:t>
      </w:r>
    </w:p>
    <w:p>
      <w:pPr>
        <w:spacing w:line="600" w:lineRule="exact"/>
        <w:ind w:firstLine="640"/>
        <w:rPr>
          <w:rFonts w:ascii="新宋体" w:hAnsi="新宋体" w:eastAsia="新宋体" w:cs="新宋体"/>
          <w:color w:val="000000" w:themeColor="text1"/>
          <w:sz w:val="28"/>
          <w:szCs w:val="28"/>
        </w:rPr>
      </w:pPr>
      <w:r>
        <w:rPr>
          <w:rFonts w:hint="eastAsia" w:ascii="新宋体" w:hAnsi="新宋体" w:eastAsia="新宋体" w:cs="新宋体"/>
          <w:b/>
          <w:color w:val="000000"/>
          <w:sz w:val="28"/>
          <w:szCs w:val="28"/>
        </w:rPr>
        <w:t>公务用车运行维护费支出</w:t>
      </w:r>
      <w:r>
        <w:rPr>
          <w:rFonts w:hint="eastAsia" w:ascii="新宋体" w:hAnsi="新宋体" w:eastAsia="新宋体" w:cs="新宋体"/>
          <w:color w:val="000000"/>
          <w:sz w:val="28"/>
          <w:szCs w:val="28"/>
        </w:rPr>
        <w:t>0万元。</w:t>
      </w:r>
      <w:r>
        <w:rPr>
          <w:rFonts w:hint="eastAsia" w:ascii="新宋体" w:hAnsi="新宋体" w:eastAsia="新宋体" w:cs="新宋体"/>
          <w:color w:val="000000" w:themeColor="text1"/>
          <w:sz w:val="28"/>
          <w:szCs w:val="28"/>
        </w:rPr>
        <w:t>主要原因年初无此项预算。</w:t>
      </w:r>
    </w:p>
    <w:p>
      <w:pPr>
        <w:spacing w:line="600" w:lineRule="exact"/>
        <w:ind w:firstLine="640"/>
        <w:rPr>
          <w:rFonts w:ascii="新宋体" w:hAnsi="新宋体" w:eastAsia="新宋体" w:cs="新宋体"/>
          <w:color w:val="000000"/>
          <w:sz w:val="28"/>
          <w:szCs w:val="28"/>
        </w:rPr>
      </w:pPr>
      <w:r>
        <w:rPr>
          <w:rFonts w:hint="eastAsia" w:ascii="新宋体" w:hAnsi="新宋体" w:eastAsia="新宋体" w:cs="新宋体"/>
          <w:b/>
          <w:color w:val="000000"/>
          <w:sz w:val="28"/>
          <w:szCs w:val="28"/>
        </w:rPr>
        <w:t>3.公务接待费支出</w:t>
      </w:r>
      <w:r>
        <w:rPr>
          <w:rFonts w:hint="eastAsia" w:ascii="新宋体" w:hAnsi="新宋体" w:eastAsia="新宋体" w:cs="新宋体"/>
          <w:color w:val="000000"/>
          <w:sz w:val="28"/>
          <w:szCs w:val="28"/>
        </w:rPr>
        <w:t>0.31万元，</w:t>
      </w:r>
      <w:r>
        <w:rPr>
          <w:rStyle w:val="13"/>
          <w:rFonts w:hint="eastAsia" w:ascii="新宋体" w:hAnsi="新宋体" w:eastAsia="新宋体" w:cs="新宋体"/>
          <w:b w:val="0"/>
          <w:color w:val="000000"/>
          <w:sz w:val="28"/>
          <w:szCs w:val="28"/>
        </w:rPr>
        <w:t>完成预算25.83%。</w:t>
      </w:r>
      <w:r>
        <w:rPr>
          <w:rFonts w:hint="eastAsia" w:ascii="新宋体" w:hAnsi="新宋体" w:eastAsia="新宋体" w:cs="新宋体"/>
          <w:color w:val="000000"/>
          <w:sz w:val="28"/>
          <w:szCs w:val="28"/>
        </w:rPr>
        <w:t>公务接待费支出决算比2018年减少0.43万元，增加-57.83%。主要原因是资金紧缺，节省开支。主要用于执行公务、开展业务活动开支的交通费、住宿费、用餐费等。国内公务接待6批次，39人次（包括陪同人员），共计支出0.31万元，具体内容包括：接待市馆业务检查接待，市档案馆安全风险隐患排查，内江市东兴区学习交流新建档案馆建设项目，指导新馆机房建设及职称评审，“不忘初心，牢记使命</w:t>
      </w:r>
      <w:r>
        <w:rPr>
          <w:rFonts w:ascii="新宋体" w:hAnsi="新宋体" w:eastAsia="新宋体" w:cs="新宋体"/>
          <w:color w:val="000000"/>
          <w:sz w:val="28"/>
          <w:szCs w:val="28"/>
        </w:rPr>
        <w:t>”</w:t>
      </w:r>
      <w:r>
        <w:rPr>
          <w:rFonts w:hint="eastAsia" w:ascii="新宋体" w:hAnsi="新宋体" w:eastAsia="新宋体" w:cs="新宋体"/>
          <w:color w:val="000000"/>
          <w:sz w:val="28"/>
          <w:szCs w:val="28"/>
        </w:rPr>
        <w:t>主题教育调研，档案工作专题调研，合计0.31万元。其中：</w:t>
      </w:r>
    </w:p>
    <w:p>
      <w:pPr>
        <w:spacing w:line="600" w:lineRule="exact"/>
        <w:ind w:firstLine="562" w:firstLineChars="200"/>
        <w:rPr>
          <w:rFonts w:ascii="新宋体" w:hAnsi="新宋体" w:eastAsia="新宋体" w:cs="新宋体"/>
          <w:color w:val="000000" w:themeColor="text1"/>
          <w:sz w:val="28"/>
          <w:szCs w:val="28"/>
        </w:rPr>
      </w:pPr>
      <w:r>
        <w:rPr>
          <w:rFonts w:hint="eastAsia" w:ascii="新宋体" w:hAnsi="新宋体" w:eastAsia="新宋体" w:cs="新宋体"/>
          <w:b/>
          <w:color w:val="000000"/>
          <w:sz w:val="28"/>
          <w:szCs w:val="28"/>
        </w:rPr>
        <w:t>外事接待支出</w:t>
      </w:r>
      <w:r>
        <w:rPr>
          <w:rFonts w:hint="eastAsia" w:ascii="新宋体" w:hAnsi="新宋体" w:eastAsia="新宋体" w:cs="新宋体"/>
          <w:color w:val="000000"/>
          <w:sz w:val="28"/>
          <w:szCs w:val="28"/>
        </w:rPr>
        <w:t>0万元</w:t>
      </w:r>
      <w:r>
        <w:rPr>
          <w:rFonts w:hint="eastAsia" w:ascii="新宋体" w:hAnsi="新宋体" w:eastAsia="新宋体" w:cs="新宋体"/>
          <w:color w:val="000000" w:themeColor="text1"/>
          <w:sz w:val="28"/>
          <w:szCs w:val="28"/>
        </w:rPr>
        <w:t>，外事接待0批次，0人，共计支出0万元，主要原因年初无此项预算。</w:t>
      </w:r>
    </w:p>
    <w:p>
      <w:pPr>
        <w:spacing w:line="600" w:lineRule="exact"/>
        <w:ind w:firstLine="562" w:firstLineChars="200"/>
        <w:rPr>
          <w:rFonts w:ascii="新宋体" w:hAnsi="新宋体" w:eastAsia="新宋体" w:cs="新宋体"/>
          <w:color w:val="000000"/>
          <w:sz w:val="28"/>
          <w:szCs w:val="28"/>
        </w:rPr>
      </w:pPr>
      <w:r>
        <w:rPr>
          <w:rFonts w:hint="eastAsia" w:ascii="新宋体" w:hAnsi="新宋体" w:eastAsia="新宋体" w:cs="新宋体"/>
          <w:b/>
          <w:color w:val="000000"/>
          <w:sz w:val="28"/>
          <w:szCs w:val="28"/>
        </w:rPr>
        <w:t>其他国内公务接待支出</w:t>
      </w:r>
      <w:r>
        <w:rPr>
          <w:rFonts w:hint="eastAsia" w:ascii="新宋体" w:hAnsi="新宋体" w:eastAsia="新宋体" w:cs="新宋体"/>
          <w:color w:val="000000"/>
          <w:sz w:val="28"/>
          <w:szCs w:val="28"/>
        </w:rPr>
        <w:t>0万元，</w:t>
      </w:r>
      <w:bookmarkStart w:id="32" w:name="_Toc15396610"/>
      <w:bookmarkStart w:id="33" w:name="_Toc15377218"/>
      <w:r>
        <w:rPr>
          <w:rFonts w:hint="eastAsia" w:ascii="新宋体" w:hAnsi="新宋体" w:eastAsia="新宋体" w:cs="新宋体"/>
          <w:color w:val="000000" w:themeColor="text1"/>
          <w:sz w:val="28"/>
          <w:szCs w:val="28"/>
        </w:rPr>
        <w:t>主要原因年初无此项预算。</w:t>
      </w:r>
    </w:p>
    <w:p>
      <w:pPr>
        <w:spacing w:line="600" w:lineRule="exact"/>
        <w:ind w:firstLine="562" w:firstLineChars="200"/>
        <w:outlineLvl w:val="1"/>
        <w:rPr>
          <w:rStyle w:val="21"/>
          <w:rFonts w:ascii="新宋体" w:hAnsi="新宋体" w:eastAsia="新宋体" w:cs="新宋体"/>
          <w:sz w:val="28"/>
          <w:szCs w:val="28"/>
        </w:rPr>
      </w:pPr>
      <w:r>
        <w:rPr>
          <w:rFonts w:hint="eastAsia" w:ascii="新宋体" w:hAnsi="新宋体" w:eastAsia="新宋体" w:cs="新宋体"/>
          <w:b/>
          <w:bCs/>
          <w:color w:val="000000"/>
          <w:sz w:val="28"/>
          <w:szCs w:val="28"/>
        </w:rPr>
        <w:t>八、</w:t>
      </w:r>
      <w:r>
        <w:rPr>
          <w:rStyle w:val="21"/>
          <w:rFonts w:hint="eastAsia" w:ascii="新宋体" w:hAnsi="新宋体" w:eastAsia="新宋体" w:cs="新宋体"/>
          <w:sz w:val="28"/>
          <w:szCs w:val="28"/>
        </w:rPr>
        <w:t>政府性基金预算支出决算情况说明</w:t>
      </w:r>
      <w:bookmarkEnd w:id="32"/>
      <w:bookmarkEnd w:id="33"/>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2019年政府性基金预算拨款支出0万元，</w:t>
      </w:r>
      <w:r>
        <w:rPr>
          <w:rFonts w:hint="eastAsia" w:ascii="新宋体" w:hAnsi="新宋体" w:eastAsia="新宋体" w:cs="新宋体"/>
          <w:color w:val="000000" w:themeColor="text1"/>
          <w:sz w:val="28"/>
          <w:szCs w:val="28"/>
        </w:rPr>
        <w:t>主要原因年初无此项预算。</w:t>
      </w:r>
    </w:p>
    <w:p>
      <w:pPr>
        <w:spacing w:line="600" w:lineRule="exact"/>
        <w:ind w:firstLine="562" w:firstLineChars="200"/>
        <w:outlineLvl w:val="1"/>
        <w:rPr>
          <w:rStyle w:val="21"/>
          <w:rFonts w:ascii="新宋体" w:hAnsi="新宋体" w:eastAsia="新宋体" w:cs="新宋体"/>
          <w:bCs w:val="0"/>
          <w:sz w:val="28"/>
          <w:szCs w:val="28"/>
        </w:rPr>
      </w:pPr>
      <w:bookmarkStart w:id="34" w:name="_Toc15396611"/>
      <w:bookmarkStart w:id="35" w:name="_Toc15377219"/>
      <w:r>
        <w:rPr>
          <w:rStyle w:val="21"/>
          <w:rFonts w:hint="eastAsia" w:ascii="新宋体" w:hAnsi="新宋体" w:eastAsia="新宋体" w:cs="新宋体"/>
          <w:bCs w:val="0"/>
          <w:sz w:val="28"/>
          <w:szCs w:val="28"/>
        </w:rPr>
        <w:t>九、国有资本经营预算支出决算情况说明</w:t>
      </w:r>
      <w:bookmarkEnd w:id="34"/>
      <w:bookmarkEnd w:id="35"/>
    </w:p>
    <w:p>
      <w:pPr>
        <w:spacing w:line="600" w:lineRule="exact"/>
        <w:ind w:firstLine="560" w:firstLineChars="200"/>
        <w:rPr>
          <w:rFonts w:hint="eastAsia" w:ascii="新宋体" w:hAnsi="新宋体" w:eastAsia="新宋体" w:cs="新宋体"/>
          <w:color w:val="000000" w:themeColor="text1"/>
          <w:sz w:val="28"/>
          <w:szCs w:val="28"/>
        </w:rPr>
      </w:pPr>
      <w:r>
        <w:rPr>
          <w:rFonts w:hint="eastAsia" w:ascii="新宋体" w:hAnsi="新宋体" w:eastAsia="新宋体" w:cs="新宋体"/>
          <w:color w:val="000000"/>
          <w:sz w:val="28"/>
          <w:szCs w:val="28"/>
        </w:rPr>
        <w:t>2019年国有资本经营预算拨款支出0万元，</w:t>
      </w:r>
      <w:r>
        <w:rPr>
          <w:rFonts w:hint="eastAsia" w:ascii="新宋体" w:hAnsi="新宋体" w:eastAsia="新宋体" w:cs="新宋体"/>
          <w:color w:val="000000" w:themeColor="text1"/>
          <w:sz w:val="28"/>
          <w:szCs w:val="28"/>
        </w:rPr>
        <w:t>主要原因年初无此项预算。</w:t>
      </w:r>
    </w:p>
    <w:p>
      <w:pPr>
        <w:spacing w:line="360" w:lineRule="auto"/>
        <w:ind w:firstLine="562" w:firstLineChars="200"/>
        <w:rPr>
          <w:rFonts w:hint="eastAsia" w:ascii="新宋体" w:hAnsi="新宋体" w:eastAsia="新宋体" w:cs="新宋体"/>
          <w:b/>
          <w:bCs/>
          <w:color w:val="000000" w:themeColor="text1"/>
          <w:sz w:val="28"/>
          <w:szCs w:val="28"/>
          <w:lang w:val="en-US" w:eastAsia="zh-CN"/>
        </w:rPr>
      </w:pPr>
      <w:r>
        <w:rPr>
          <w:rFonts w:hint="eastAsia" w:ascii="新宋体" w:hAnsi="新宋体" w:eastAsia="新宋体" w:cs="新宋体"/>
          <w:b/>
          <w:bCs/>
          <w:color w:val="000000" w:themeColor="text1"/>
          <w:sz w:val="28"/>
          <w:szCs w:val="28"/>
          <w:lang w:val="en-US" w:eastAsia="zh-CN"/>
        </w:rPr>
        <w:t>十、</w:t>
      </w:r>
      <w:r>
        <w:rPr>
          <w:rFonts w:hint="eastAsia" w:ascii="新宋体" w:hAnsi="新宋体" w:eastAsia="新宋体" w:cs="新宋体"/>
          <w:b/>
          <w:bCs/>
          <w:color w:val="auto"/>
          <w:sz w:val="28"/>
          <w:szCs w:val="28"/>
        </w:rPr>
        <w:t>所属地区债券资金</w:t>
      </w:r>
      <w:r>
        <w:rPr>
          <w:rFonts w:hint="eastAsia" w:ascii="新宋体" w:hAnsi="新宋体" w:eastAsia="新宋体" w:cs="新宋体"/>
          <w:b/>
          <w:bCs/>
          <w:color w:val="auto"/>
          <w:sz w:val="28"/>
          <w:szCs w:val="28"/>
          <w:lang w:val="en-US" w:eastAsia="zh-CN"/>
        </w:rPr>
        <w:t>决算</w:t>
      </w:r>
      <w:r>
        <w:rPr>
          <w:rStyle w:val="21"/>
          <w:rFonts w:hint="eastAsia" w:ascii="新宋体" w:hAnsi="新宋体" w:eastAsia="新宋体" w:cs="新宋体"/>
          <w:b/>
          <w:bCs/>
          <w:sz w:val="28"/>
          <w:szCs w:val="28"/>
        </w:rPr>
        <w:t>情况说明</w:t>
      </w:r>
    </w:p>
    <w:p>
      <w:pPr>
        <w:spacing w:line="600" w:lineRule="exact"/>
        <w:ind w:firstLine="560" w:firstLineChars="200"/>
        <w:rPr>
          <w:rFonts w:hint="eastAsia" w:ascii="新宋体" w:hAnsi="新宋体" w:eastAsia="新宋体" w:cs="新宋体"/>
          <w:color w:val="auto"/>
          <w:sz w:val="28"/>
          <w:szCs w:val="28"/>
        </w:rPr>
      </w:pPr>
      <w:r>
        <w:rPr>
          <w:rFonts w:hint="eastAsia" w:ascii="新宋体" w:hAnsi="新宋体" w:eastAsia="新宋体" w:cs="新宋体"/>
          <w:color w:val="auto"/>
          <w:sz w:val="28"/>
          <w:szCs w:val="28"/>
          <w:lang w:val="en-US" w:eastAsia="zh-CN"/>
        </w:rPr>
        <w:t>县档案馆</w:t>
      </w:r>
      <w:r>
        <w:rPr>
          <w:rFonts w:hint="eastAsia" w:ascii="新宋体" w:hAnsi="新宋体" w:eastAsia="新宋体" w:cs="新宋体"/>
          <w:color w:val="auto"/>
          <w:sz w:val="28"/>
          <w:szCs w:val="28"/>
        </w:rPr>
        <w:t>所属地区债券资金</w:t>
      </w:r>
      <w:r>
        <w:rPr>
          <w:rFonts w:hint="eastAsia" w:ascii="新宋体" w:hAnsi="新宋体" w:eastAsia="新宋体" w:cs="新宋体"/>
          <w:color w:val="auto"/>
          <w:sz w:val="28"/>
          <w:szCs w:val="28"/>
          <w:lang w:val="en-US" w:eastAsia="zh-CN"/>
        </w:rPr>
        <w:t>决算数为0万元，</w:t>
      </w:r>
      <w:r>
        <w:rPr>
          <w:rFonts w:hint="eastAsia" w:ascii="新宋体" w:hAnsi="新宋体" w:eastAsia="新宋体" w:cs="新宋体"/>
          <w:color w:val="000000" w:themeColor="text1"/>
          <w:sz w:val="28"/>
          <w:szCs w:val="28"/>
        </w:rPr>
        <w:t>主要原因年初无此项预算</w:t>
      </w:r>
      <w:r>
        <w:rPr>
          <w:rFonts w:hint="eastAsia" w:ascii="新宋体" w:hAnsi="新宋体" w:eastAsia="新宋体" w:cs="新宋体"/>
          <w:color w:val="auto"/>
          <w:sz w:val="28"/>
          <w:szCs w:val="28"/>
        </w:rPr>
        <w:t>。</w:t>
      </w:r>
    </w:p>
    <w:p>
      <w:pPr>
        <w:spacing w:line="360" w:lineRule="auto"/>
        <w:ind w:firstLine="562" w:firstLineChars="200"/>
        <w:rPr>
          <w:rFonts w:hint="default" w:ascii="新宋体" w:hAnsi="新宋体" w:eastAsia="新宋体" w:cs="新宋体"/>
          <w:b/>
          <w:bCs/>
          <w:color w:val="auto"/>
          <w:sz w:val="28"/>
          <w:szCs w:val="28"/>
          <w:lang w:val="en-US" w:eastAsia="zh-CN"/>
        </w:rPr>
      </w:pPr>
      <w:r>
        <w:rPr>
          <w:rFonts w:hint="eastAsia" w:ascii="新宋体" w:hAnsi="新宋体" w:eastAsia="新宋体" w:cs="新宋体"/>
          <w:b/>
          <w:bCs/>
          <w:color w:val="auto"/>
          <w:sz w:val="28"/>
          <w:szCs w:val="28"/>
          <w:lang w:val="en-US" w:eastAsia="zh-CN"/>
        </w:rPr>
        <w:t>十一、财政扶贫资金预算决算</w:t>
      </w:r>
      <w:r>
        <w:rPr>
          <w:rStyle w:val="21"/>
          <w:rFonts w:hint="eastAsia" w:ascii="新宋体" w:hAnsi="新宋体" w:eastAsia="新宋体" w:cs="新宋体"/>
          <w:b/>
          <w:bCs/>
          <w:sz w:val="28"/>
          <w:szCs w:val="28"/>
        </w:rPr>
        <w:t>情况说明</w:t>
      </w:r>
    </w:p>
    <w:p>
      <w:pPr>
        <w:spacing w:line="600" w:lineRule="exact"/>
        <w:ind w:firstLine="560" w:firstLineChars="200"/>
        <w:rPr>
          <w:rFonts w:hint="eastAsia" w:ascii="新宋体" w:hAnsi="新宋体" w:eastAsia="新宋体" w:cs="新宋体"/>
          <w:color w:val="000000" w:themeColor="text1"/>
          <w:sz w:val="28"/>
          <w:szCs w:val="28"/>
          <w:lang w:val="en-US" w:eastAsia="zh-CN"/>
        </w:rPr>
      </w:pPr>
      <w:r>
        <w:rPr>
          <w:rFonts w:hint="eastAsia" w:ascii="新宋体" w:hAnsi="新宋体" w:eastAsia="新宋体" w:cs="新宋体"/>
          <w:color w:val="auto"/>
          <w:sz w:val="28"/>
          <w:szCs w:val="28"/>
          <w:lang w:val="en-US" w:eastAsia="zh-CN"/>
        </w:rPr>
        <w:t>县档案馆财政扶贫资金预算数为0万元，</w:t>
      </w:r>
      <w:r>
        <w:rPr>
          <w:rFonts w:hint="eastAsia" w:ascii="新宋体" w:hAnsi="新宋体" w:eastAsia="新宋体" w:cs="新宋体"/>
          <w:color w:val="000000" w:themeColor="text1"/>
          <w:sz w:val="28"/>
          <w:szCs w:val="28"/>
        </w:rPr>
        <w:t>主要原因年初无此项预算</w:t>
      </w:r>
      <w:r>
        <w:rPr>
          <w:rFonts w:hint="eastAsia" w:ascii="新宋体" w:hAnsi="新宋体" w:eastAsia="新宋体" w:cs="新宋体"/>
          <w:color w:val="auto"/>
          <w:sz w:val="28"/>
          <w:szCs w:val="28"/>
        </w:rPr>
        <w:t>。</w:t>
      </w:r>
    </w:p>
    <w:p>
      <w:pPr>
        <w:numPr>
          <w:ilvl w:val="0"/>
          <w:numId w:val="0"/>
        </w:numPr>
        <w:spacing w:line="600" w:lineRule="exact"/>
        <w:ind w:firstLine="562" w:firstLineChars="200"/>
        <w:outlineLvl w:val="1"/>
        <w:rPr>
          <w:rStyle w:val="21"/>
          <w:rFonts w:hint="eastAsia" w:ascii="新宋体" w:hAnsi="新宋体" w:eastAsia="新宋体" w:cs="新宋体"/>
          <w:sz w:val="28"/>
          <w:szCs w:val="28"/>
        </w:rPr>
      </w:pPr>
      <w:bookmarkStart w:id="36" w:name="_Toc15396612"/>
      <w:bookmarkStart w:id="37" w:name="_Toc15377221"/>
      <w:r>
        <w:rPr>
          <w:rStyle w:val="21"/>
          <w:rFonts w:hint="eastAsia" w:ascii="新宋体" w:hAnsi="新宋体" w:eastAsia="新宋体" w:cs="新宋体"/>
          <w:sz w:val="28"/>
          <w:szCs w:val="28"/>
          <w:lang w:val="en-US" w:eastAsia="zh-CN"/>
        </w:rPr>
        <w:t>十二、</w:t>
      </w:r>
      <w:r>
        <w:rPr>
          <w:rStyle w:val="21"/>
          <w:rFonts w:hint="eastAsia" w:ascii="新宋体" w:hAnsi="新宋体" w:eastAsia="新宋体" w:cs="新宋体"/>
          <w:sz w:val="28"/>
          <w:szCs w:val="28"/>
        </w:rPr>
        <w:t>其他重要事项的情况说明</w:t>
      </w:r>
      <w:bookmarkEnd w:id="36"/>
      <w:bookmarkEnd w:id="37"/>
    </w:p>
    <w:p>
      <w:pPr>
        <w:spacing w:line="600" w:lineRule="exact"/>
        <w:ind w:firstLine="562" w:firstLineChars="200"/>
        <w:outlineLvl w:val="2"/>
        <w:rPr>
          <w:rFonts w:ascii="新宋体" w:hAnsi="新宋体" w:eastAsia="新宋体" w:cs="新宋体"/>
          <w:color w:val="000000"/>
          <w:sz w:val="28"/>
          <w:szCs w:val="28"/>
        </w:rPr>
      </w:pPr>
      <w:bookmarkStart w:id="38" w:name="_Toc15377222"/>
      <w:r>
        <w:rPr>
          <w:rFonts w:hint="eastAsia" w:ascii="新宋体" w:hAnsi="新宋体" w:eastAsia="新宋体" w:cs="新宋体"/>
          <w:b/>
          <w:color w:val="000000"/>
          <w:sz w:val="28"/>
          <w:szCs w:val="28"/>
        </w:rPr>
        <w:t>（一）机关运行经费支出情况</w:t>
      </w:r>
      <w:bookmarkEnd w:id="38"/>
    </w:p>
    <w:p>
      <w:pPr>
        <w:spacing w:line="60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sz w:val="28"/>
          <w:szCs w:val="28"/>
        </w:rPr>
        <w:t>2019年，乐至县档案馆机关运行经费支出25.65万元，比2018年增加2.54万元，增长10.99%。</w:t>
      </w:r>
      <w:r>
        <w:rPr>
          <w:rFonts w:hint="eastAsia" w:ascii="新宋体" w:hAnsi="新宋体" w:eastAsia="新宋体" w:cs="新宋体"/>
          <w:color w:val="000000" w:themeColor="text1"/>
          <w:sz w:val="28"/>
          <w:szCs w:val="28"/>
        </w:rPr>
        <w:t>主要原因是机构改革，2018年的部分公用经费于2019年执行预算调整。</w:t>
      </w:r>
    </w:p>
    <w:p>
      <w:pPr>
        <w:autoSpaceDE w:val="0"/>
        <w:autoSpaceDN w:val="0"/>
        <w:adjustRightInd w:val="0"/>
        <w:spacing w:line="600" w:lineRule="exact"/>
        <w:ind w:firstLine="562" w:firstLineChars="200"/>
        <w:jc w:val="left"/>
        <w:outlineLvl w:val="2"/>
        <w:rPr>
          <w:rFonts w:ascii="新宋体" w:hAnsi="新宋体" w:eastAsia="新宋体" w:cs="新宋体"/>
          <w:b/>
          <w:color w:val="000000"/>
          <w:sz w:val="28"/>
          <w:szCs w:val="28"/>
        </w:rPr>
      </w:pPr>
      <w:bookmarkStart w:id="39" w:name="_Toc15377223"/>
      <w:r>
        <w:rPr>
          <w:rFonts w:hint="eastAsia" w:ascii="新宋体" w:hAnsi="新宋体" w:eastAsia="新宋体" w:cs="新宋体"/>
          <w:b/>
          <w:color w:val="000000"/>
          <w:sz w:val="28"/>
          <w:szCs w:val="28"/>
        </w:rPr>
        <w:t>（二）政府采购支出情况</w:t>
      </w:r>
      <w:bookmarkEnd w:id="39"/>
    </w:p>
    <w:p>
      <w:pPr>
        <w:spacing w:line="600" w:lineRule="exact"/>
        <w:ind w:firstLine="560" w:firstLineChars="200"/>
        <w:rPr>
          <w:rFonts w:ascii="新宋体" w:hAnsi="新宋体" w:eastAsia="新宋体" w:cs="新宋体"/>
          <w:color w:val="000000"/>
          <w:sz w:val="28"/>
          <w:szCs w:val="28"/>
        </w:rPr>
      </w:pPr>
      <w:r>
        <w:rPr>
          <w:rFonts w:hint="eastAsia" w:ascii="新宋体" w:hAnsi="新宋体" w:eastAsia="新宋体" w:cs="新宋体"/>
          <w:color w:val="000000"/>
          <w:sz w:val="28"/>
          <w:szCs w:val="28"/>
        </w:rPr>
        <w:t>2019年，乐至县档案馆政府采购支出总额0万元，其中：政府采购货物支出0万元、政府采购工程支出0万元、政府采购服务支出0万元。主要用于档案保管保护工作。授予中小企业合同金额0万元，占政府采购支出总额的0%，其中：授予小微企业合同金额0万元，占政府采购支出总额的0%。</w:t>
      </w:r>
    </w:p>
    <w:p>
      <w:pPr>
        <w:autoSpaceDE w:val="0"/>
        <w:autoSpaceDN w:val="0"/>
        <w:adjustRightInd w:val="0"/>
        <w:spacing w:line="600" w:lineRule="exact"/>
        <w:ind w:firstLine="562" w:firstLineChars="200"/>
        <w:jc w:val="left"/>
        <w:outlineLvl w:val="2"/>
        <w:rPr>
          <w:rFonts w:ascii="新宋体" w:hAnsi="新宋体" w:eastAsia="新宋体" w:cs="新宋体"/>
          <w:b/>
          <w:color w:val="000000"/>
          <w:sz w:val="28"/>
          <w:szCs w:val="28"/>
        </w:rPr>
      </w:pPr>
      <w:bookmarkStart w:id="40" w:name="_Toc15377224"/>
      <w:r>
        <w:rPr>
          <w:rFonts w:hint="eastAsia" w:ascii="新宋体" w:hAnsi="新宋体" w:eastAsia="新宋体" w:cs="新宋体"/>
          <w:b/>
          <w:color w:val="000000"/>
          <w:sz w:val="28"/>
          <w:szCs w:val="28"/>
        </w:rPr>
        <w:t>（三）国有资产占有使用情况</w:t>
      </w:r>
      <w:bookmarkEnd w:id="40"/>
    </w:p>
    <w:p>
      <w:pPr>
        <w:autoSpaceDE w:val="0"/>
        <w:autoSpaceDN w:val="0"/>
        <w:adjustRightInd w:val="0"/>
        <w:spacing w:line="600" w:lineRule="exact"/>
        <w:ind w:firstLine="560" w:firstLineChars="200"/>
        <w:jc w:val="left"/>
        <w:rPr>
          <w:rFonts w:ascii="新宋体" w:hAnsi="新宋体" w:eastAsia="新宋体" w:cs="新宋体"/>
          <w:color w:val="000000"/>
          <w:sz w:val="28"/>
          <w:szCs w:val="28"/>
        </w:rPr>
      </w:pPr>
      <w:r>
        <w:rPr>
          <w:rFonts w:hint="eastAsia" w:ascii="新宋体" w:hAnsi="新宋体" w:eastAsia="新宋体" w:cs="新宋体"/>
          <w:color w:val="000000"/>
          <w:sz w:val="28"/>
          <w:szCs w:val="28"/>
        </w:rPr>
        <w:t>截至2019年12月31日，乐至县档案馆共有车辆0辆，其中：部级领导干部用车0辆、一般公务用车0辆、一般执法执勤用车0辆、特种专业技术用车0辆、其他用车0辆，</w:t>
      </w:r>
      <w:r>
        <w:rPr>
          <w:rFonts w:hint="eastAsia" w:ascii="新宋体" w:hAnsi="新宋体" w:eastAsia="新宋体" w:cs="新宋体"/>
          <w:color w:val="000000" w:themeColor="text1"/>
          <w:sz w:val="28"/>
          <w:szCs w:val="28"/>
        </w:rPr>
        <w:t>其他用车主要是用于……单价50万元以上通用设备0台（套），单价100</w:t>
      </w:r>
      <w:r>
        <w:rPr>
          <w:rFonts w:hint="eastAsia" w:ascii="新宋体" w:hAnsi="新宋体" w:eastAsia="新宋体" w:cs="新宋体"/>
          <w:color w:val="000000"/>
          <w:sz w:val="28"/>
          <w:szCs w:val="28"/>
        </w:rPr>
        <w:t>万元以上专用设备0台（套）。</w:t>
      </w:r>
    </w:p>
    <w:p>
      <w:pPr>
        <w:pStyle w:val="18"/>
        <w:spacing w:line="580" w:lineRule="exact"/>
        <w:ind w:firstLine="562"/>
        <w:rPr>
          <w:rStyle w:val="21"/>
          <w:rFonts w:ascii="黑体" w:hAnsi="黑体" w:eastAsia="黑体"/>
          <w:bCs w:val="0"/>
          <w:color w:val="000000" w:themeColor="text1"/>
          <w:sz w:val="28"/>
          <w:szCs w:val="28"/>
        </w:rPr>
      </w:pPr>
      <w:r>
        <w:rPr>
          <w:rStyle w:val="21"/>
          <w:rFonts w:hint="eastAsia" w:ascii="黑体" w:hAnsi="黑体" w:eastAsia="黑体"/>
          <w:bCs w:val="0"/>
          <w:color w:val="000000" w:themeColor="text1"/>
          <w:sz w:val="28"/>
          <w:szCs w:val="28"/>
        </w:rPr>
        <w:t>（四）、预算绩效情况说明</w:t>
      </w:r>
    </w:p>
    <w:p>
      <w:pPr>
        <w:spacing w:line="580" w:lineRule="exact"/>
        <w:ind w:left="562"/>
        <w:rPr>
          <w:rFonts w:ascii="仿宋" w:hAnsi="仿宋" w:eastAsia="仿宋" w:cs="楷体_GB2312"/>
          <w:b/>
          <w:bCs/>
          <w:color w:val="000000" w:themeColor="text1"/>
          <w:sz w:val="28"/>
          <w:szCs w:val="28"/>
        </w:rPr>
      </w:pPr>
      <w:r>
        <w:rPr>
          <w:rFonts w:hint="eastAsia" w:ascii="仿宋" w:hAnsi="仿宋" w:eastAsia="仿宋" w:cs="楷体_GB2312"/>
          <w:b/>
          <w:bCs/>
          <w:color w:val="000000" w:themeColor="text1"/>
          <w:sz w:val="28"/>
          <w:szCs w:val="28"/>
        </w:rPr>
        <w:t>预算绩效管理工作开展情况。</w:t>
      </w:r>
    </w:p>
    <w:p>
      <w:pPr>
        <w:ind w:firstLine="560" w:firstLineChars="200"/>
        <w:rPr>
          <w:rFonts w:ascii="新宋体" w:hAnsi="新宋体" w:eastAsia="新宋体"/>
          <w:b/>
          <w:sz w:val="28"/>
          <w:szCs w:val="28"/>
        </w:rPr>
      </w:pPr>
      <w:r>
        <w:rPr>
          <w:rFonts w:hint="eastAsia" w:cs="仿宋_GB2312" w:asciiTheme="majorEastAsia" w:hAnsiTheme="majorEastAsia" w:eastAsiaTheme="majorEastAsia"/>
          <w:sz w:val="28"/>
          <w:szCs w:val="28"/>
        </w:rPr>
        <w:t>1.本部门按要求对2019年部门整体支出开展绩效自评（详见附件一）。</w:t>
      </w:r>
    </w:p>
    <w:p>
      <w:pPr>
        <w:ind w:firstLine="560" w:firstLineChars="200"/>
        <w:rPr>
          <w:rFonts w:cs="仿宋_GB2312" w:asciiTheme="majorEastAsia" w:hAnsiTheme="majorEastAsia" w:eastAsiaTheme="majorEastAsia"/>
          <w:sz w:val="28"/>
          <w:szCs w:val="28"/>
        </w:rPr>
      </w:pPr>
      <w:r>
        <w:rPr>
          <w:rFonts w:hint="eastAsia" w:ascii="新宋体" w:hAnsi="新宋体" w:eastAsia="新宋体" w:cs="新宋体"/>
          <w:color w:val="000000" w:themeColor="text1"/>
          <w:sz w:val="28"/>
          <w:szCs w:val="28"/>
        </w:rPr>
        <w:t>2.根据预算绩效管理要求，本部门（单位）在年初预算编制阶段，组织对档案保管保护项目经费开展了预算事前绩效评估，对1个项目编制了绩效目标，预算执行过程中，选取1个项目开展绩效监控，年终执行完毕后，对1个项目开展了绩效目标完成情况梳理填报。</w:t>
      </w:r>
      <w:r>
        <w:rPr>
          <w:rFonts w:hint="eastAsia" w:cs="仿宋_GB2312" w:asciiTheme="majorEastAsia" w:hAnsiTheme="majorEastAsia" w:eastAsiaTheme="majorEastAsia"/>
          <w:sz w:val="28"/>
          <w:szCs w:val="28"/>
        </w:rPr>
        <w:t>年终执行完毕后，对1个项目开展了绩效目标完成情况自评（详见附件二）。</w:t>
      </w:r>
    </w:p>
    <w:p>
      <w:pPr>
        <w:autoSpaceDE w:val="0"/>
        <w:autoSpaceDN w:val="0"/>
        <w:adjustRightInd w:val="0"/>
        <w:spacing w:line="600" w:lineRule="exact"/>
        <w:ind w:firstLine="562" w:firstLineChars="200"/>
        <w:jc w:val="left"/>
        <w:outlineLvl w:val="2"/>
        <w:rPr>
          <w:rFonts w:ascii="新宋体" w:hAnsi="新宋体" w:eastAsia="新宋体" w:cs="新宋体"/>
          <w:b/>
          <w:color w:val="000000"/>
          <w:sz w:val="28"/>
          <w:szCs w:val="28"/>
        </w:rPr>
      </w:pPr>
    </w:p>
    <w:p>
      <w:pPr>
        <w:numPr>
          <w:ilvl w:val="0"/>
          <w:numId w:val="2"/>
        </w:numPr>
        <w:spacing w:line="600" w:lineRule="exact"/>
        <w:ind w:firstLine="422" w:firstLineChars="150"/>
        <w:jc w:val="center"/>
        <w:outlineLvl w:val="0"/>
        <w:rPr>
          <w:rStyle w:val="20"/>
          <w:rFonts w:ascii="黑体" w:hAnsi="黑体" w:eastAsia="黑体"/>
          <w:bCs w:val="0"/>
          <w:sz w:val="28"/>
          <w:szCs w:val="28"/>
        </w:rPr>
      </w:pPr>
      <w:bookmarkStart w:id="41" w:name="_Toc15396613"/>
      <w:bookmarkStart w:id="42" w:name="_Toc15377225"/>
      <w:r>
        <w:rPr>
          <w:rFonts w:hint="eastAsia" w:ascii="黑体" w:hAnsi="黑体" w:eastAsia="黑体"/>
          <w:b/>
          <w:color w:val="000000"/>
          <w:sz w:val="28"/>
          <w:szCs w:val="28"/>
        </w:rPr>
        <w:t>名</w:t>
      </w:r>
      <w:r>
        <w:rPr>
          <w:rStyle w:val="20"/>
          <w:rFonts w:hint="eastAsia" w:ascii="黑体" w:hAnsi="黑体" w:eastAsia="黑体"/>
          <w:bCs w:val="0"/>
          <w:sz w:val="28"/>
          <w:szCs w:val="28"/>
        </w:rPr>
        <w:t>词解释</w:t>
      </w:r>
      <w:bookmarkEnd w:id="41"/>
      <w:bookmarkEnd w:id="42"/>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 xml:space="preserve">1.财政拨款收入：指省级财政当年拨付的资金。 </w:t>
      </w:r>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2.事业收入：指事业单位开展专业业务活动及辅助活动所取得的收入。</w:t>
      </w:r>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3.经营收入：指事业单位在专业业务活动及其辅助活动之外开展非独立核算经营活动取得的收入。</w:t>
      </w:r>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 xml:space="preserve">4.其他收入：指除上述“财政拨款收入”、“事业收入”、“经营收入”等以外的收入。 </w:t>
      </w:r>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 xml:space="preserve">6.年初结转和结余：指以前年度尚未完成、结转到本年按有关规定继续使用的资金。 </w:t>
      </w:r>
    </w:p>
    <w:p>
      <w:pPr>
        <w:ind w:firstLine="560" w:firstLineChars="200"/>
        <w:rPr>
          <w:rFonts w:ascii="宋体" w:hAnsi="宋体" w:cs="宋体"/>
          <w:color w:val="000000"/>
          <w:sz w:val="28"/>
          <w:szCs w:val="28"/>
        </w:rPr>
      </w:pPr>
      <w:r>
        <w:rPr>
          <w:rFonts w:hint="eastAsia" w:ascii="宋体" w:hAnsi="宋体" w:cs="宋体"/>
          <w:color w:val="000000"/>
          <w:sz w:val="28"/>
          <w:szCs w:val="28"/>
        </w:rPr>
        <w:t>7.一般公共服务201（类）26（款）01（项）：行政运行指参公单位的基本支出。</w:t>
      </w:r>
    </w:p>
    <w:p>
      <w:pPr>
        <w:ind w:firstLine="560" w:firstLineChars="200"/>
        <w:rPr>
          <w:rFonts w:ascii="宋体" w:hAnsi="宋体" w:cs="宋体"/>
          <w:color w:val="000000"/>
          <w:sz w:val="28"/>
          <w:szCs w:val="28"/>
        </w:rPr>
      </w:pPr>
      <w:r>
        <w:rPr>
          <w:rFonts w:hint="eastAsia" w:ascii="宋体" w:hAnsi="宋体" w:cs="宋体"/>
          <w:color w:val="000000"/>
          <w:sz w:val="28"/>
          <w:szCs w:val="28"/>
        </w:rPr>
        <w:t>8.一般公共服务201（类）26（款）04（项）：档案馆指中央和地方各级档案馆的支出。</w:t>
      </w:r>
    </w:p>
    <w:p>
      <w:pPr>
        <w:ind w:firstLine="560" w:firstLineChars="200"/>
        <w:rPr>
          <w:rFonts w:ascii="宋体" w:hAnsi="宋体" w:cs="宋体"/>
          <w:color w:val="000000"/>
          <w:sz w:val="28"/>
          <w:szCs w:val="28"/>
        </w:rPr>
      </w:pPr>
      <w:r>
        <w:rPr>
          <w:rFonts w:hint="eastAsia" w:ascii="宋体" w:hAnsi="宋体" w:cs="宋体"/>
          <w:color w:val="000000"/>
          <w:sz w:val="28"/>
          <w:szCs w:val="28"/>
        </w:rPr>
        <w:t>9.一般公共服务201（类）26（款）99（项）：其他档案事务支出指其他用于档案事务方面的支出。</w:t>
      </w:r>
    </w:p>
    <w:p>
      <w:pPr>
        <w:ind w:firstLine="560" w:firstLineChars="200"/>
        <w:rPr>
          <w:rFonts w:ascii="新宋体" w:hAnsi="新宋体" w:eastAsia="新宋体" w:cs="新宋体"/>
          <w:color w:val="000000"/>
          <w:sz w:val="28"/>
          <w:szCs w:val="28"/>
        </w:rPr>
      </w:pPr>
      <w:r>
        <w:rPr>
          <w:rFonts w:hint="eastAsia" w:ascii="宋体" w:hAnsi="宋体" w:cs="宋体"/>
          <w:color w:val="000000"/>
          <w:sz w:val="28"/>
          <w:szCs w:val="28"/>
        </w:rPr>
        <w:t>10.</w:t>
      </w:r>
      <w:r>
        <w:rPr>
          <w:rFonts w:hint="eastAsia" w:ascii="新宋体" w:hAnsi="新宋体" w:eastAsia="新宋体" w:cs="新宋体"/>
          <w:color w:val="000000"/>
          <w:sz w:val="28"/>
          <w:szCs w:val="28"/>
        </w:rPr>
        <w:t>社会保障和就业支出208（类）05（款）05（项）：机关事业单位基本养老保险缴费支出指机关事业单位实施养老保险制度由单位缴纳的基本养老保险费支出。</w:t>
      </w:r>
    </w:p>
    <w:p>
      <w:pPr>
        <w:ind w:firstLine="560" w:firstLineChars="200"/>
        <w:rPr>
          <w:rFonts w:ascii="宋体" w:hAnsi="宋体" w:cs="宋体"/>
          <w:color w:val="000000"/>
          <w:sz w:val="28"/>
          <w:szCs w:val="28"/>
        </w:rPr>
      </w:pPr>
      <w:r>
        <w:rPr>
          <w:rFonts w:hint="eastAsia" w:ascii="新宋体" w:hAnsi="新宋体" w:eastAsia="新宋体" w:cs="新宋体"/>
          <w:color w:val="000000"/>
          <w:sz w:val="28"/>
          <w:szCs w:val="28"/>
        </w:rPr>
        <w:t>11.社会保障和就业支出208（类）05（款）06（项）：机关事业单位职业年金缴费支出指机关事业单位实施养老保险制度由单位实际缴费的职业年金支出。</w:t>
      </w:r>
    </w:p>
    <w:p>
      <w:pPr>
        <w:ind w:firstLine="560" w:firstLineChars="200"/>
        <w:rPr>
          <w:rFonts w:ascii="宋体" w:hAnsi="宋体" w:cs="宋体"/>
          <w:color w:val="000000"/>
          <w:sz w:val="28"/>
          <w:szCs w:val="28"/>
        </w:rPr>
      </w:pPr>
      <w:r>
        <w:rPr>
          <w:rFonts w:hint="eastAsia" w:ascii="宋体" w:hAnsi="宋体" w:cs="宋体"/>
          <w:color w:val="000000"/>
          <w:sz w:val="28"/>
          <w:szCs w:val="28"/>
        </w:rPr>
        <w:t>12.医疗卫生及计划生育支出210（类）11（款）01（项）：行政单位医疗指财政部门安排的行政单位（包括实行公务员管理的事业单位）基本医疗保险缴费支出。</w:t>
      </w:r>
    </w:p>
    <w:p>
      <w:pPr>
        <w:ind w:firstLine="560" w:firstLineChars="200"/>
        <w:rPr>
          <w:rFonts w:ascii="宋体" w:hAnsi="宋体" w:cs="宋体"/>
          <w:color w:val="000000"/>
          <w:sz w:val="28"/>
          <w:szCs w:val="28"/>
        </w:rPr>
      </w:pPr>
      <w:r>
        <w:rPr>
          <w:rFonts w:hint="eastAsia" w:ascii="宋体" w:hAnsi="宋体" w:cs="宋体"/>
          <w:color w:val="000000"/>
          <w:sz w:val="28"/>
          <w:szCs w:val="28"/>
        </w:rPr>
        <w:t>13.医疗卫生及计划生育支出210（类）11（款）02（项）：事业单位医疗指财政部门集中安排的事业单位医疗保险缴费支出。</w:t>
      </w:r>
    </w:p>
    <w:p>
      <w:pPr>
        <w:ind w:firstLine="560" w:firstLineChars="200"/>
        <w:rPr>
          <w:rFonts w:ascii="宋体" w:hAnsi="宋体" w:cs="宋体"/>
          <w:color w:val="000000"/>
          <w:sz w:val="28"/>
          <w:szCs w:val="28"/>
        </w:rPr>
      </w:pPr>
      <w:r>
        <w:rPr>
          <w:rFonts w:hint="eastAsia" w:ascii="宋体" w:hAnsi="宋体" w:cs="宋体"/>
          <w:color w:val="000000"/>
          <w:sz w:val="28"/>
          <w:szCs w:val="28"/>
        </w:rPr>
        <w:t>14.医疗卫生及计划生育支出210（类）11（款）03（项）：公务员医疗补助指财政部门安排的公务员医疗补助经费。</w:t>
      </w:r>
    </w:p>
    <w:p>
      <w:pPr>
        <w:ind w:firstLine="560" w:firstLineChars="200"/>
        <w:rPr>
          <w:rFonts w:cs="宋体" w:asciiTheme="majorEastAsia" w:hAnsiTheme="majorEastAsia" w:eastAsiaTheme="majorEastAsia"/>
          <w:b/>
          <w:color w:val="000000"/>
          <w:sz w:val="28"/>
          <w:szCs w:val="28"/>
        </w:rPr>
      </w:pPr>
      <w:r>
        <w:rPr>
          <w:rStyle w:val="13"/>
          <w:rFonts w:hint="eastAsia" w:cs="宋体" w:asciiTheme="majorEastAsia" w:hAnsiTheme="majorEastAsia" w:eastAsiaTheme="majorEastAsia"/>
          <w:b w:val="0"/>
          <w:color w:val="000000"/>
          <w:sz w:val="28"/>
          <w:szCs w:val="28"/>
        </w:rPr>
        <w:t>15．住房保障类221（类）02（款）01（项）:住房公积金指单位按规定为职工缴纳的住房公积金。</w:t>
      </w:r>
    </w:p>
    <w:p>
      <w:pPr>
        <w:ind w:firstLine="560" w:firstLineChars="200"/>
        <w:rPr>
          <w:rFonts w:ascii="宋体" w:hAnsi="宋体" w:cs="宋体"/>
          <w:color w:val="000000"/>
          <w:sz w:val="28"/>
          <w:szCs w:val="28"/>
        </w:rPr>
      </w:pPr>
      <w:r>
        <w:rPr>
          <w:rFonts w:hint="eastAsia" w:ascii="宋体" w:hAnsi="宋体" w:cs="宋体"/>
          <w:color w:val="000000"/>
          <w:sz w:val="28"/>
          <w:szCs w:val="28"/>
        </w:rPr>
        <w:t>16.基本支出：指为保障机构正常运转、完成日常工作任务而发生的人员支出和公用支出。</w:t>
      </w:r>
    </w:p>
    <w:p>
      <w:pPr>
        <w:ind w:firstLine="560" w:firstLineChars="200"/>
        <w:rPr>
          <w:rFonts w:ascii="宋体" w:hAnsi="宋体" w:cs="宋体"/>
          <w:color w:val="000000"/>
          <w:sz w:val="28"/>
          <w:szCs w:val="28"/>
        </w:rPr>
      </w:pPr>
      <w:r>
        <w:rPr>
          <w:rFonts w:hint="eastAsia" w:ascii="宋体" w:hAnsi="宋体" w:cs="宋体"/>
          <w:color w:val="000000"/>
          <w:sz w:val="28"/>
          <w:szCs w:val="28"/>
        </w:rPr>
        <w:t xml:space="preserve">17.项目支出：指在基本支出之外为完成特定行政任务和事业发展目标所发生的支出。 </w:t>
      </w:r>
    </w:p>
    <w:p>
      <w:pPr>
        <w:pStyle w:val="19"/>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18.“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19"/>
        <w:spacing w:line="560" w:lineRule="exact"/>
        <w:ind w:firstLine="560" w:firstLineChars="200"/>
        <w:rPr>
          <w:rStyle w:val="20"/>
          <w:rFonts w:ascii="黑体" w:hAnsi="黑体" w:eastAsia="黑体"/>
          <w:b w:val="0"/>
          <w:sz w:val="28"/>
          <w:szCs w:val="28"/>
        </w:rPr>
      </w:pPr>
      <w:r>
        <w:rPr>
          <w:rFonts w:hint="eastAsia" w:ascii="宋体" w:hAnsi="宋体" w:eastAsia="宋体" w:cs="宋体"/>
          <w:sz w:val="28"/>
          <w:szCs w:val="28"/>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562" w:firstLineChars="200"/>
        <w:rPr>
          <w:rFonts w:ascii="新宋体" w:hAnsi="新宋体" w:eastAsia="新宋体" w:cs="新宋体"/>
          <w:b/>
          <w:color w:val="000000"/>
          <w:sz w:val="28"/>
          <w:szCs w:val="28"/>
        </w:rPr>
      </w:pPr>
      <w:bookmarkStart w:id="43" w:name="_Toc15396614"/>
      <w:bookmarkStart w:id="44" w:name="_Toc15377226"/>
      <w:r>
        <w:rPr>
          <w:rFonts w:hint="eastAsia" w:ascii="新宋体" w:hAnsi="新宋体" w:eastAsia="新宋体" w:cs="新宋体"/>
          <w:b/>
          <w:color w:val="000000"/>
          <w:sz w:val="28"/>
          <w:szCs w:val="28"/>
        </w:rPr>
        <w:t>（名词解释部分根据部门实际列支情况罗列，参照《2019年政府收支分类科目》，并根据本部门职责职能增减名词解释内容。）</w:t>
      </w:r>
    </w:p>
    <w:p>
      <w:pPr>
        <w:spacing w:line="600" w:lineRule="exact"/>
        <w:jc w:val="center"/>
        <w:outlineLvl w:val="0"/>
        <w:rPr>
          <w:rStyle w:val="20"/>
          <w:rFonts w:ascii="黑体" w:hAnsi="黑体" w:eastAsia="黑体"/>
          <w:b w:val="0"/>
          <w:color w:val="000000" w:themeColor="text1"/>
          <w:sz w:val="30"/>
          <w:szCs w:val="30"/>
        </w:rPr>
      </w:pPr>
      <w:r>
        <w:rPr>
          <w:rFonts w:hint="eastAsia" w:ascii="新宋体" w:hAnsi="新宋体" w:eastAsia="新宋体" w:cs="新宋体"/>
          <w:b/>
          <w:color w:val="000000"/>
          <w:sz w:val="28"/>
          <w:szCs w:val="28"/>
        </w:rPr>
        <w:br w:type="page"/>
      </w:r>
      <w:r>
        <w:rPr>
          <w:rFonts w:hint="eastAsia" w:ascii="黑体" w:hAnsi="黑体" w:eastAsia="黑体"/>
          <w:color w:val="000000" w:themeColor="text1"/>
          <w:sz w:val="30"/>
          <w:szCs w:val="30"/>
        </w:rPr>
        <w:t>第</w:t>
      </w:r>
      <w:r>
        <w:rPr>
          <w:rStyle w:val="20"/>
          <w:rFonts w:hint="eastAsia" w:ascii="黑体" w:hAnsi="黑体" w:eastAsia="黑体"/>
          <w:b w:val="0"/>
          <w:color w:val="000000" w:themeColor="text1"/>
          <w:sz w:val="30"/>
          <w:szCs w:val="30"/>
        </w:rPr>
        <w:t>四部分 附件</w:t>
      </w:r>
      <w:bookmarkEnd w:id="43"/>
    </w:p>
    <w:p>
      <w:pPr>
        <w:spacing w:line="600" w:lineRule="exact"/>
        <w:jc w:val="left"/>
        <w:outlineLvl w:val="0"/>
        <w:rPr>
          <w:rStyle w:val="20"/>
          <w:rFonts w:asciiTheme="majorEastAsia" w:hAnsiTheme="majorEastAsia" w:eastAsiaTheme="majorEastAsia"/>
          <w:b w:val="0"/>
          <w:color w:val="000000" w:themeColor="text1"/>
          <w:sz w:val="28"/>
          <w:szCs w:val="28"/>
        </w:rPr>
      </w:pPr>
      <w:r>
        <w:rPr>
          <w:rStyle w:val="20"/>
          <w:rFonts w:hint="eastAsia" w:asciiTheme="majorEastAsia" w:hAnsiTheme="majorEastAsia" w:eastAsiaTheme="majorEastAsia"/>
          <w:b w:val="0"/>
          <w:color w:val="000000" w:themeColor="text1"/>
          <w:sz w:val="28"/>
          <w:szCs w:val="28"/>
        </w:rPr>
        <w:t>附件一</w:t>
      </w:r>
    </w:p>
    <w:p>
      <w:pPr>
        <w:spacing w:line="600" w:lineRule="exact"/>
        <w:jc w:val="center"/>
        <w:outlineLvl w:val="0"/>
        <w:rPr>
          <w:rFonts w:ascii="黑体" w:hAnsi="黑体" w:eastAsia="黑体" w:cs="方正小标宋简体"/>
          <w:color w:val="000000" w:themeColor="text1"/>
          <w:sz w:val="30"/>
          <w:szCs w:val="30"/>
        </w:rPr>
      </w:pPr>
      <w:bookmarkStart w:id="45" w:name="_Toc15396616"/>
      <w:r>
        <w:rPr>
          <w:rFonts w:hint="eastAsia" w:ascii="黑体" w:hAnsi="黑体" w:eastAsia="黑体" w:cs="方正小标宋简体"/>
          <w:color w:val="000000" w:themeColor="text1"/>
          <w:sz w:val="30"/>
          <w:szCs w:val="30"/>
        </w:rPr>
        <w:t>乐至县档案馆</w:t>
      </w:r>
    </w:p>
    <w:p>
      <w:pPr>
        <w:spacing w:line="600" w:lineRule="exact"/>
        <w:jc w:val="center"/>
        <w:outlineLvl w:val="0"/>
        <w:rPr>
          <w:rFonts w:ascii="黑体" w:hAnsi="黑体" w:eastAsia="黑体" w:cs="黑体"/>
          <w:color w:val="000000" w:themeColor="text1"/>
          <w:sz w:val="30"/>
          <w:szCs w:val="30"/>
        </w:rPr>
      </w:pPr>
      <w:r>
        <w:rPr>
          <w:rFonts w:hint="eastAsia" w:ascii="黑体" w:hAnsi="黑体" w:eastAsia="黑体" w:cs="方正小标宋简体"/>
          <w:color w:val="000000" w:themeColor="text1"/>
          <w:sz w:val="30"/>
          <w:szCs w:val="30"/>
        </w:rPr>
        <w:t>2019年部门整体支出绩效评价报告</w:t>
      </w:r>
      <w:bookmarkEnd w:id="45"/>
    </w:p>
    <w:p>
      <w:pPr>
        <w:spacing w:line="580" w:lineRule="exact"/>
        <w:ind w:firstLine="562" w:firstLineChars="200"/>
        <w:rPr>
          <w:rFonts w:ascii="新宋体" w:hAnsi="新宋体" w:eastAsia="新宋体" w:cs="新宋体"/>
          <w:b/>
          <w:bCs/>
          <w:color w:val="000000" w:themeColor="text1"/>
          <w:sz w:val="28"/>
          <w:szCs w:val="28"/>
        </w:rPr>
      </w:pPr>
      <w:r>
        <w:rPr>
          <w:rFonts w:hint="eastAsia" w:ascii="新宋体" w:hAnsi="新宋体" w:eastAsia="新宋体" w:cs="新宋体"/>
          <w:b/>
          <w:bCs/>
          <w:color w:val="000000" w:themeColor="text1"/>
          <w:sz w:val="28"/>
          <w:szCs w:val="28"/>
        </w:rPr>
        <w:t>一、部门（单位）概况</w:t>
      </w:r>
    </w:p>
    <w:p>
      <w:pPr>
        <w:ind w:firstLine="700" w:firstLineChars="25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（一）机构组成。乐至县档案馆下属一级单位1个，其中行政单位0个，参照公务员法管理的事业单位</w:t>
      </w:r>
      <w:r>
        <w:rPr>
          <w:rFonts w:hint="eastAsia" w:ascii="新宋体" w:hAnsi="新宋体" w:eastAsia="新宋体" w:cs="新宋体"/>
          <w:bCs/>
          <w:color w:val="000000" w:themeColor="text1"/>
          <w:sz w:val="28"/>
          <w:szCs w:val="28"/>
        </w:rPr>
        <w:t>1</w:t>
      </w:r>
      <w:r>
        <w:rPr>
          <w:rFonts w:hint="eastAsia" w:ascii="新宋体" w:hAnsi="新宋体" w:eastAsia="新宋体" w:cs="新宋体"/>
          <w:color w:val="000000" w:themeColor="text1"/>
          <w:sz w:val="28"/>
          <w:szCs w:val="28"/>
        </w:rPr>
        <w:t>个，其他事业单位0个。</w:t>
      </w:r>
    </w:p>
    <w:p>
      <w:pPr>
        <w:pStyle w:val="4"/>
        <w:spacing w:before="93"/>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　　（二）机构职能。制定本区域档案工作规范性文件并负责组织实施；指导、监督、检查、协调本区域档案工作，查处档案违法案件；</w:t>
      </w:r>
    </w:p>
    <w:p>
      <w:pPr>
        <w:pStyle w:val="4"/>
        <w:spacing w:before="93"/>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组织开展本区域档案学术活动、档案宣传、教育培训、专业技术职务评聘工作；负责接收、征集、整理、集中保管本区域档案及珍贵历史资料，确保档案资料的安全；开展档案编研工作，开发档案信息资源，依法向社会开放档案。</w:t>
      </w:r>
    </w:p>
    <w:p>
      <w:pPr>
        <w:spacing w:line="620" w:lineRule="exact"/>
        <w:ind w:firstLine="64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（三）人员概况。乐至县档案馆总编制10名，其中：行政编制0名，参照公务员法管理的事业编制10名，其他事业编制0名。实有在职人员总数10人，其中：行政人员0人，参照公务员法管理的事业人员10 人，其他事业人员0人;离休人员 0人，退休人员14人，遗属人员2人。</w:t>
      </w:r>
    </w:p>
    <w:p>
      <w:pPr>
        <w:spacing w:line="580" w:lineRule="exact"/>
        <w:ind w:firstLine="562" w:firstLineChars="200"/>
        <w:rPr>
          <w:rFonts w:ascii="新宋体" w:hAnsi="新宋体" w:eastAsia="新宋体" w:cs="新宋体"/>
          <w:b/>
          <w:bCs/>
          <w:color w:val="000000" w:themeColor="text1"/>
          <w:sz w:val="28"/>
          <w:szCs w:val="28"/>
        </w:rPr>
      </w:pPr>
      <w:r>
        <w:rPr>
          <w:rFonts w:hint="eastAsia" w:ascii="新宋体" w:hAnsi="新宋体" w:eastAsia="新宋体" w:cs="新宋体"/>
          <w:b/>
          <w:bCs/>
          <w:color w:val="000000" w:themeColor="text1"/>
          <w:sz w:val="28"/>
          <w:szCs w:val="28"/>
        </w:rPr>
        <w:t>二、部门财政资金收支情况</w:t>
      </w:r>
    </w:p>
    <w:p>
      <w:pPr>
        <w:spacing w:line="600" w:lineRule="exact"/>
        <w:ind w:firstLine="560" w:firstLineChars="200"/>
        <w:outlineLvl w:val="1"/>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一）部门财政资金收入情况。2019年本年收入合计309.19万元，其中：一般公共预算财政拨款收入309.19万元，占100%；政府性基金预算财政拨款收入0万元，占0%；国有资本经营预算财政拨款收入0万元，占0%；事业收入0万元，占0%；经营收入0万元，占0%；附属单位上缴收入0万元，占0%；其他收入0万元，占0%。</w:t>
      </w:r>
    </w:p>
    <w:p>
      <w:pPr>
        <w:spacing w:line="600" w:lineRule="exact"/>
        <w:ind w:firstLine="64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二）部门财政资金支出情况。2019年本年支出合计309.19万元，其中：基本支出138.08万元，占44.66%；项目支出171.11万元，占55.34%；上缴上级支出0万元，占0%；经营支出0万元，占0%；对附属单位补助支出0万元，占0%。</w:t>
      </w:r>
    </w:p>
    <w:p>
      <w:pPr>
        <w:spacing w:line="580" w:lineRule="exact"/>
        <w:ind w:firstLine="562" w:firstLineChars="200"/>
        <w:rPr>
          <w:rFonts w:ascii="新宋体" w:hAnsi="新宋体" w:eastAsia="新宋体" w:cs="新宋体"/>
          <w:color w:val="000000" w:themeColor="text1"/>
          <w:sz w:val="28"/>
          <w:szCs w:val="28"/>
        </w:rPr>
      </w:pPr>
      <w:r>
        <w:rPr>
          <w:rFonts w:hint="eastAsia" w:ascii="新宋体" w:hAnsi="新宋体" w:eastAsia="新宋体" w:cs="新宋体"/>
          <w:b/>
          <w:bCs/>
          <w:color w:val="000000" w:themeColor="text1"/>
          <w:sz w:val="28"/>
          <w:szCs w:val="28"/>
        </w:rPr>
        <w:t>三、部门整体预算绩效管理情况</w:t>
      </w:r>
    </w:p>
    <w:p>
      <w:pPr>
        <w:spacing w:line="58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（一）部门预算管理。</w:t>
      </w:r>
    </w:p>
    <w:p>
      <w:pPr>
        <w:spacing w:line="560" w:lineRule="exact"/>
        <w:ind w:firstLine="840" w:firstLineChars="3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shd w:val="clear" w:color="auto" w:fill="FFFFFF"/>
        </w:rPr>
        <w:t>1.预算执行方面，年初预算140.35万元，调整预算数309.19万元，预算完成率为100%。支出总额控制在预算总额以内。按照资金支出规定和标准，我馆无资金滥用、乱发等违规记录。</w:t>
      </w:r>
      <w:r>
        <w:rPr>
          <w:rFonts w:hint="eastAsia" w:ascii="新宋体" w:hAnsi="新宋体" w:eastAsia="新宋体" w:cs="新宋体"/>
          <w:color w:val="000000" w:themeColor="text1"/>
          <w:sz w:val="28"/>
          <w:szCs w:val="28"/>
        </w:rPr>
        <w:t>2019年“三公”经费财政拨款支出决算中，因公出国（境）费支出决算0万元，占0%；公务用车购置及运行维护费支出决算0万元，占0%；公务接待费支出决算0.31万元，占“三公”经费支出总数100%。</w:t>
      </w:r>
      <w:r>
        <w:rPr>
          <w:rFonts w:hint="eastAsia" w:ascii="新宋体" w:hAnsi="新宋体" w:eastAsia="新宋体" w:cs="新宋体"/>
          <w:color w:val="000000" w:themeColor="text1"/>
          <w:sz w:val="28"/>
          <w:szCs w:val="28"/>
          <w:lang w:val="zh-CN"/>
        </w:rPr>
        <w:t>年初预算由馆办公室按照“合法、规范、公平、节俭”的原则，</w:t>
      </w:r>
      <w:r>
        <w:rPr>
          <w:rFonts w:hint="eastAsia" w:ascii="新宋体" w:hAnsi="新宋体" w:eastAsia="新宋体" w:cs="新宋体"/>
          <w:color w:val="000000"/>
          <w:sz w:val="28"/>
          <w:szCs w:val="28"/>
          <w:lang w:val="zh-CN"/>
        </w:rPr>
        <w:t>统筹安排，综合管理；精打细算，量入为出；</w:t>
      </w:r>
      <w:r>
        <w:rPr>
          <w:rFonts w:hint="eastAsia" w:ascii="新宋体" w:hAnsi="新宋体" w:eastAsia="新宋体" w:cs="新宋体"/>
          <w:color w:val="000000" w:themeColor="text1"/>
          <w:sz w:val="28"/>
          <w:szCs w:val="28"/>
          <w:lang w:val="zh-CN"/>
        </w:rPr>
        <w:t>结合上年资金使用情况和本年度实际需要编制年度财务收支预算，报档案馆党组审定后编制预算。基本支出</w:t>
      </w:r>
      <w:r>
        <w:rPr>
          <w:rFonts w:hint="eastAsia" w:ascii="新宋体" w:hAnsi="新宋体" w:eastAsia="新宋体" w:cs="新宋体"/>
          <w:color w:val="000000"/>
          <w:sz w:val="28"/>
          <w:szCs w:val="28"/>
          <w:lang w:val="zh-CN"/>
        </w:rPr>
        <w:t>保障重点，兼顾一般；勤俭节约，讲求实效，</w:t>
      </w:r>
      <w:r>
        <w:rPr>
          <w:rFonts w:hint="eastAsia" w:ascii="新宋体" w:hAnsi="新宋体" w:eastAsia="新宋体" w:cs="新宋体"/>
          <w:color w:val="000000" w:themeColor="text1"/>
          <w:sz w:val="28"/>
          <w:szCs w:val="28"/>
          <w:lang w:val="zh-CN"/>
        </w:rPr>
        <w:t>严格按照财政批复的预算执行。</w:t>
      </w:r>
      <w:r>
        <w:rPr>
          <w:rFonts w:hint="eastAsia" w:ascii="新宋体" w:hAnsi="新宋体" w:eastAsia="新宋体" w:cs="新宋体"/>
          <w:color w:val="000000"/>
          <w:sz w:val="28"/>
          <w:szCs w:val="28"/>
          <w:lang w:val="zh-CN"/>
        </w:rPr>
        <w:t>报销人员及相关领导对报销单据要认真审核，做到报账手续规范完整，财务人员要严格执行会计制度，账目清楚，日清月结，定期报表。</w:t>
      </w:r>
      <w:r>
        <w:rPr>
          <w:rFonts w:hint="eastAsia" w:ascii="新宋体" w:hAnsi="新宋体" w:eastAsia="新宋体" w:cs="新宋体"/>
          <w:color w:val="000000" w:themeColor="text1"/>
          <w:sz w:val="28"/>
          <w:szCs w:val="28"/>
          <w:shd w:val="clear" w:color="auto" w:fill="FFFFFF"/>
        </w:rPr>
        <w:t>制度执行总体较为有效。</w:t>
      </w:r>
    </w:p>
    <w:p>
      <w:pPr>
        <w:spacing w:line="58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（二）专项预算管理。</w:t>
      </w:r>
    </w:p>
    <w:p>
      <w:pPr>
        <w:spacing w:line="58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lang w:val="zh-CN"/>
        </w:rPr>
        <w:t>专项支出按本级财政年初预算和上级追加的专项或业务经费执行。</w:t>
      </w:r>
      <w:r>
        <w:rPr>
          <w:rFonts w:hint="eastAsia" w:ascii="新宋体" w:hAnsi="新宋体" w:eastAsia="新宋体" w:cs="新宋体"/>
          <w:color w:val="000000" w:themeColor="text1"/>
          <w:sz w:val="28"/>
          <w:szCs w:val="28"/>
        </w:rPr>
        <w:t>实行专项核算专款专用。</w:t>
      </w:r>
      <w:r>
        <w:rPr>
          <w:rFonts w:hint="eastAsia" w:ascii="新宋体" w:hAnsi="新宋体" w:eastAsia="新宋体" w:cs="新宋体"/>
          <w:color w:val="000000"/>
          <w:sz w:val="28"/>
          <w:szCs w:val="28"/>
          <w:lang w:val="zh-CN"/>
        </w:rPr>
        <w:t>资金管理及审批遵循“谁经手，谁负责”的原则，即由经手人（证明人、验收人）、事项负责人和审批人对发票的真实性、合理性、合法性负责。</w:t>
      </w:r>
      <w:r>
        <w:rPr>
          <w:rFonts w:hint="eastAsia" w:ascii="新宋体" w:hAnsi="新宋体" w:eastAsia="新宋体" w:cs="新宋体"/>
          <w:color w:val="000000" w:themeColor="text1"/>
          <w:sz w:val="28"/>
          <w:szCs w:val="28"/>
        </w:rPr>
        <w:t>帐务处理及时，核算准确规范。专款专用，没有列支与项目内容无关的费用。</w:t>
      </w:r>
    </w:p>
    <w:p>
      <w:pPr>
        <w:spacing w:line="58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（三）结果应用情况。</w:t>
      </w:r>
    </w:p>
    <w:p>
      <w:pPr>
        <w:spacing w:line="560" w:lineRule="exact"/>
        <w:ind w:firstLine="840" w:firstLineChars="300"/>
        <w:rPr>
          <w:rFonts w:ascii="新宋体" w:hAnsi="新宋体" w:eastAsia="新宋体" w:cs="新宋体"/>
          <w:color w:val="000000" w:themeColor="text1"/>
          <w:sz w:val="28"/>
          <w:szCs w:val="28"/>
          <w:shd w:val="clear" w:color="auto" w:fill="FFFFFF"/>
        </w:rPr>
      </w:pPr>
      <w:r>
        <w:rPr>
          <w:rFonts w:hint="eastAsia" w:ascii="新宋体" w:hAnsi="新宋体" w:eastAsia="新宋体" w:cs="新宋体"/>
          <w:color w:val="000000" w:themeColor="text1"/>
          <w:sz w:val="28"/>
          <w:szCs w:val="28"/>
          <w:shd w:val="clear" w:color="auto" w:fill="FFFFFF"/>
        </w:rPr>
        <w:t>从整体情况来看，我馆严格按照年初预算进行部门整体支出。在支出过程中，能严格遵守各项规章制度，</w:t>
      </w:r>
      <w:r>
        <w:rPr>
          <w:rFonts w:hint="eastAsia" w:ascii="新宋体" w:hAnsi="新宋体" w:eastAsia="新宋体" w:cs="新宋体"/>
          <w:color w:val="000000"/>
          <w:sz w:val="28"/>
          <w:szCs w:val="28"/>
          <w:lang w:val="zh-CN"/>
        </w:rPr>
        <w:t>由经办人负责将票据进行分门别类整理，并填写经费报销审批单，经办人（证明人、验收人）在票据上签字，财务相关人员和分管领导审核，分管财务的馆领导审批或主要领导审批。支出在1万元以上的项目须经馆党组研究决定。</w:t>
      </w:r>
      <w:r>
        <w:rPr>
          <w:rFonts w:hint="eastAsia" w:ascii="新宋体" w:hAnsi="新宋体" w:eastAsia="新宋体" w:cs="新宋体"/>
          <w:color w:val="000000" w:themeColor="text1"/>
          <w:sz w:val="28"/>
          <w:szCs w:val="28"/>
          <w:shd w:val="clear" w:color="auto" w:fill="FFFFFF"/>
        </w:rPr>
        <w:t>尤其是在专项经费支出上，专款专用，无截留、无挪用等现象。实行了先有预算、后有执行、“用钱必问效、无效必问责”的新常态。</w:t>
      </w:r>
    </w:p>
    <w:p>
      <w:pPr>
        <w:spacing w:line="580" w:lineRule="exact"/>
        <w:ind w:firstLine="560" w:firstLineChars="200"/>
        <w:rPr>
          <w:rFonts w:ascii="新宋体" w:hAnsi="新宋体" w:eastAsia="新宋体" w:cs="仿宋_GB2312"/>
          <w:color w:val="000000" w:themeColor="text1"/>
          <w:sz w:val="28"/>
          <w:szCs w:val="28"/>
        </w:rPr>
      </w:pPr>
      <w:r>
        <w:rPr>
          <w:rFonts w:hint="eastAsia" w:ascii="新宋体" w:hAnsi="新宋体" w:eastAsia="新宋体" w:cs="仿宋_GB2312"/>
          <w:color w:val="000000" w:themeColor="text1"/>
          <w:sz w:val="28"/>
          <w:szCs w:val="28"/>
        </w:rPr>
        <w:t>本部门按要求对2019年部门整体支出开展绩效自评，从评价情况来看：</w:t>
      </w:r>
    </w:p>
    <w:p>
      <w:pPr>
        <w:jc w:val="center"/>
        <w:rPr>
          <w:rFonts w:ascii="新宋体" w:hAnsi="新宋体" w:eastAsia="新宋体" w:cs="新宋体"/>
          <w:color w:val="000000" w:themeColor="text1"/>
          <w:sz w:val="30"/>
          <w:szCs w:val="30"/>
        </w:rPr>
      </w:pPr>
      <w:r>
        <w:rPr>
          <w:rFonts w:hint="eastAsia" w:ascii="新宋体" w:hAnsi="新宋体" w:eastAsia="新宋体" w:cs="新宋体"/>
          <w:color w:val="000000" w:themeColor="text1"/>
          <w:sz w:val="30"/>
          <w:szCs w:val="30"/>
        </w:rPr>
        <w:t>2019年部门整体支出绩效评价得分表</w:t>
      </w:r>
    </w:p>
    <w:tbl>
      <w:tblPr>
        <w:tblStyle w:val="11"/>
        <w:tblW w:w="8823" w:type="dxa"/>
        <w:tblInd w:w="108" w:type="dxa"/>
        <w:tblLayout w:type="fixed"/>
        <w:tblCellMar>
          <w:top w:w="0" w:type="dxa"/>
          <w:left w:w="0" w:type="dxa"/>
          <w:bottom w:w="0" w:type="dxa"/>
          <w:right w:w="0" w:type="dxa"/>
        </w:tblCellMar>
      </w:tblPr>
      <w:tblGrid>
        <w:gridCol w:w="1702"/>
        <w:gridCol w:w="2268"/>
        <w:gridCol w:w="3402"/>
        <w:gridCol w:w="1451"/>
      </w:tblGrid>
      <w:tr>
        <w:tblPrEx>
          <w:tblCellMar>
            <w:top w:w="0" w:type="dxa"/>
            <w:left w:w="0" w:type="dxa"/>
            <w:bottom w:w="0" w:type="dxa"/>
            <w:right w:w="0" w:type="dxa"/>
          </w:tblCellMar>
        </w:tblPrEx>
        <w:trPr>
          <w:trHeight w:val="434" w:hRule="atLeast"/>
        </w:trPr>
        <w:tc>
          <w:tcPr>
            <w:tcW w:w="17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b/>
                <w:color w:val="000000" w:themeColor="text1"/>
                <w:sz w:val="18"/>
                <w:szCs w:val="18"/>
              </w:rPr>
            </w:pPr>
            <w:r>
              <w:rPr>
                <w:rFonts w:hint="eastAsia" w:ascii="新宋体" w:hAnsi="新宋体" w:eastAsia="新宋体" w:cs="新宋体"/>
                <w:b/>
                <w:color w:val="000000" w:themeColor="text1"/>
                <w:sz w:val="18"/>
                <w:szCs w:val="18"/>
              </w:rPr>
              <w:t>一级指标</w:t>
            </w:r>
          </w:p>
        </w:tc>
        <w:tc>
          <w:tcPr>
            <w:tcW w:w="226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b/>
                <w:color w:val="000000" w:themeColor="text1"/>
                <w:sz w:val="18"/>
                <w:szCs w:val="18"/>
              </w:rPr>
            </w:pPr>
            <w:r>
              <w:rPr>
                <w:rFonts w:hint="eastAsia" w:ascii="新宋体" w:hAnsi="新宋体" w:eastAsia="新宋体" w:cs="新宋体"/>
                <w:b/>
                <w:color w:val="000000" w:themeColor="text1"/>
                <w:sz w:val="18"/>
                <w:szCs w:val="18"/>
              </w:rPr>
              <w:t>二级指标</w:t>
            </w:r>
          </w:p>
        </w:tc>
        <w:tc>
          <w:tcPr>
            <w:tcW w:w="340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b/>
                <w:color w:val="000000" w:themeColor="text1"/>
                <w:sz w:val="18"/>
                <w:szCs w:val="18"/>
              </w:rPr>
            </w:pPr>
            <w:r>
              <w:rPr>
                <w:rFonts w:hint="eastAsia" w:ascii="新宋体" w:hAnsi="新宋体" w:eastAsia="新宋体" w:cs="新宋体"/>
                <w:b/>
                <w:color w:val="000000" w:themeColor="text1"/>
                <w:sz w:val="18"/>
                <w:szCs w:val="18"/>
              </w:rPr>
              <w:t>三级指标</w:t>
            </w:r>
          </w:p>
        </w:tc>
        <w:tc>
          <w:tcPr>
            <w:tcW w:w="1451" w:type="dxa"/>
            <w:tcBorders>
              <w:top w:val="single" w:color="000000" w:sz="4" w:space="0"/>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b/>
                <w:color w:val="000000" w:themeColor="text1"/>
                <w:sz w:val="18"/>
                <w:szCs w:val="18"/>
              </w:rPr>
            </w:pPr>
            <w:r>
              <w:rPr>
                <w:rFonts w:hint="eastAsia" w:ascii="新宋体" w:hAnsi="新宋体" w:eastAsia="新宋体" w:cs="新宋体"/>
                <w:b/>
                <w:color w:val="000000" w:themeColor="text1"/>
                <w:sz w:val="18"/>
                <w:szCs w:val="18"/>
              </w:rPr>
              <w:t>得分</w:t>
            </w:r>
          </w:p>
        </w:tc>
      </w:tr>
      <w:tr>
        <w:tblPrEx>
          <w:tblCellMar>
            <w:top w:w="0" w:type="dxa"/>
            <w:left w:w="0" w:type="dxa"/>
            <w:bottom w:w="0" w:type="dxa"/>
            <w:right w:w="0" w:type="dxa"/>
          </w:tblCellMar>
        </w:tblPrEx>
        <w:trPr>
          <w:trHeight w:val="520" w:hRule="atLeast"/>
        </w:trPr>
        <w:tc>
          <w:tcPr>
            <w:tcW w:w="1702"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部门决策（25分）</w:t>
            </w: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目标任务（15分）</w:t>
            </w:r>
          </w:p>
          <w:p>
            <w:pPr>
              <w:widowControl/>
              <w:jc w:val="center"/>
              <w:rPr>
                <w:rFonts w:ascii="新宋体" w:hAnsi="新宋体" w:eastAsia="新宋体" w:cs="新宋体"/>
                <w:color w:val="000000" w:themeColor="text1"/>
                <w:sz w:val="18"/>
                <w:szCs w:val="18"/>
              </w:rPr>
            </w:pP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相关性（5分）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4</w:t>
            </w:r>
          </w:p>
        </w:tc>
      </w:tr>
      <w:tr>
        <w:tblPrEx>
          <w:tblCellMar>
            <w:top w:w="0" w:type="dxa"/>
            <w:left w:w="0" w:type="dxa"/>
            <w:bottom w:w="0" w:type="dxa"/>
            <w:right w:w="0" w:type="dxa"/>
          </w:tblCellMar>
        </w:tblPrEx>
        <w:trPr>
          <w:trHeight w:val="413"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tabs>
                <w:tab w:val="right" w:pos="3186"/>
              </w:tabs>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明确性（5分）</w:t>
            </w:r>
            <w:r>
              <w:rPr>
                <w:rFonts w:hint="eastAsia" w:ascii="新宋体" w:hAnsi="新宋体" w:eastAsia="新宋体" w:cs="新宋体"/>
                <w:color w:val="000000" w:themeColor="text1"/>
                <w:sz w:val="18"/>
                <w:szCs w:val="18"/>
              </w:rPr>
              <w:tab/>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5</w:t>
            </w:r>
          </w:p>
        </w:tc>
      </w:tr>
      <w:tr>
        <w:tblPrEx>
          <w:tblCellMar>
            <w:top w:w="0" w:type="dxa"/>
            <w:left w:w="0" w:type="dxa"/>
            <w:bottom w:w="0" w:type="dxa"/>
            <w:right w:w="0" w:type="dxa"/>
          </w:tblCellMar>
        </w:tblPrEx>
        <w:trPr>
          <w:trHeight w:val="420"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合理性（5分）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4</w:t>
            </w:r>
          </w:p>
        </w:tc>
      </w:tr>
      <w:tr>
        <w:tblPrEx>
          <w:tblCellMar>
            <w:top w:w="0" w:type="dxa"/>
            <w:left w:w="0" w:type="dxa"/>
            <w:bottom w:w="0" w:type="dxa"/>
            <w:right w:w="0" w:type="dxa"/>
          </w:tblCellMar>
        </w:tblPrEx>
        <w:trPr>
          <w:trHeight w:val="90"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预算编制（10分）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测算依据（5分）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5</w:t>
            </w:r>
          </w:p>
        </w:tc>
      </w:tr>
      <w:tr>
        <w:tblPrEx>
          <w:tblCellMar>
            <w:top w:w="0" w:type="dxa"/>
            <w:left w:w="0" w:type="dxa"/>
            <w:bottom w:w="0" w:type="dxa"/>
            <w:right w:w="0" w:type="dxa"/>
          </w:tblCellMar>
        </w:tblPrEx>
        <w:trPr>
          <w:trHeight w:val="231"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目标管理（5分）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5</w:t>
            </w:r>
          </w:p>
        </w:tc>
      </w:tr>
      <w:tr>
        <w:tblPrEx>
          <w:tblCellMar>
            <w:top w:w="0" w:type="dxa"/>
            <w:left w:w="0" w:type="dxa"/>
            <w:bottom w:w="0" w:type="dxa"/>
            <w:right w:w="0" w:type="dxa"/>
          </w:tblCellMar>
        </w:tblPrEx>
        <w:trPr>
          <w:trHeight w:val="477" w:hRule="atLeast"/>
        </w:trPr>
        <w:tc>
          <w:tcPr>
            <w:tcW w:w="1702"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综合管理（30分）</w:t>
            </w:r>
          </w:p>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专项资金分配时限（2分）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省级财力专项预算分配时限（1分）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3</w:t>
            </w:r>
          </w:p>
        </w:tc>
      </w:tr>
      <w:tr>
        <w:tblPrEx>
          <w:tblCellMar>
            <w:top w:w="0" w:type="dxa"/>
            <w:left w:w="0" w:type="dxa"/>
            <w:bottom w:w="0" w:type="dxa"/>
            <w:right w:w="0" w:type="dxa"/>
          </w:tblCellMar>
        </w:tblPrEx>
        <w:trPr>
          <w:trHeight w:val="413"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中央专款分配合规率（1分）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0</w:t>
            </w:r>
          </w:p>
        </w:tc>
      </w:tr>
      <w:tr>
        <w:tblPrEx>
          <w:tblCellMar>
            <w:top w:w="0" w:type="dxa"/>
            <w:left w:w="0" w:type="dxa"/>
            <w:bottom w:w="0" w:type="dxa"/>
            <w:right w:w="0" w:type="dxa"/>
          </w:tblCellMar>
        </w:tblPrEx>
        <w:trPr>
          <w:trHeight w:val="277"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中期评估（2分）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执行中期评估（2分）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381"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绩效监控（5分）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预算执行进度监控（2分）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273"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绩效目标动态监控（3分）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235"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非税收入执收情况（2分）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非税收入征收情况（1分）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0</w:t>
            </w:r>
          </w:p>
        </w:tc>
      </w:tr>
      <w:tr>
        <w:tblPrEx>
          <w:tblCellMar>
            <w:top w:w="0" w:type="dxa"/>
            <w:left w:w="0" w:type="dxa"/>
            <w:bottom w:w="0" w:type="dxa"/>
            <w:right w:w="0" w:type="dxa"/>
          </w:tblCellMar>
        </w:tblPrEx>
        <w:trPr>
          <w:trHeight w:val="325"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非税收入上缴情况（1分）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0</w:t>
            </w:r>
          </w:p>
        </w:tc>
      </w:tr>
      <w:tr>
        <w:tblPrEx>
          <w:tblCellMar>
            <w:top w:w="0" w:type="dxa"/>
            <w:left w:w="0" w:type="dxa"/>
            <w:bottom w:w="0" w:type="dxa"/>
            <w:right w:w="0" w:type="dxa"/>
          </w:tblCellMar>
        </w:tblPrEx>
        <w:trPr>
          <w:trHeight w:val="287"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资产管理（6分）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资产管理信息化情况（2分）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235"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行政事业单位资产报告情况（2分）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353"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资产管理与预算管理相结合（2分）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272"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内控制度管理（2分）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内部控制度健全完整（2分）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1</w:t>
            </w:r>
          </w:p>
        </w:tc>
      </w:tr>
      <w:tr>
        <w:tblPrEx>
          <w:tblCellMar>
            <w:top w:w="0" w:type="dxa"/>
            <w:left w:w="0" w:type="dxa"/>
            <w:bottom w:w="0" w:type="dxa"/>
            <w:right w:w="0" w:type="dxa"/>
          </w:tblCellMar>
        </w:tblPrEx>
        <w:trPr>
          <w:trHeight w:val="221"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信息公开（6分）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预算公开（2分）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197"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决算公开（2分）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287"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绩效信息公开（2分）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405"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绩效评价（5分）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绩效评价开展（2分）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1</w:t>
            </w:r>
          </w:p>
        </w:tc>
      </w:tr>
      <w:tr>
        <w:tblPrEx>
          <w:tblCellMar>
            <w:top w:w="0" w:type="dxa"/>
            <w:left w:w="0" w:type="dxa"/>
            <w:bottom w:w="0" w:type="dxa"/>
            <w:right w:w="0" w:type="dxa"/>
          </w:tblCellMar>
        </w:tblPrEx>
        <w:trPr>
          <w:trHeight w:val="127"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评价结果应用（3分）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231" w:hRule="atLeast"/>
        </w:trPr>
        <w:tc>
          <w:tcPr>
            <w:tcW w:w="1702"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部门绩效情况（45分）</w:t>
            </w:r>
          </w:p>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履职成效（20分）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部门特性指标</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16</w:t>
            </w:r>
          </w:p>
        </w:tc>
      </w:tr>
      <w:tr>
        <w:tblPrEx>
          <w:tblCellMar>
            <w:top w:w="0" w:type="dxa"/>
            <w:left w:w="0" w:type="dxa"/>
            <w:bottom w:w="0" w:type="dxa"/>
            <w:right w:w="0" w:type="dxa"/>
          </w:tblCellMar>
        </w:tblPrEx>
        <w:trPr>
          <w:trHeight w:val="180"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p>
        </w:tc>
      </w:tr>
      <w:tr>
        <w:tblPrEx>
          <w:tblCellMar>
            <w:top w:w="0" w:type="dxa"/>
            <w:left w:w="0" w:type="dxa"/>
            <w:bottom w:w="0" w:type="dxa"/>
            <w:right w:w="0" w:type="dxa"/>
          </w:tblCellMar>
        </w:tblPrEx>
        <w:trPr>
          <w:trHeight w:val="240"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p>
        </w:tc>
      </w:tr>
      <w:tr>
        <w:tblPrEx>
          <w:tblCellMar>
            <w:top w:w="0" w:type="dxa"/>
            <w:left w:w="0" w:type="dxa"/>
            <w:bottom w:w="0" w:type="dxa"/>
            <w:right w:w="0" w:type="dxa"/>
          </w:tblCellMar>
        </w:tblPrEx>
        <w:trPr>
          <w:trHeight w:val="240"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p>
        </w:tc>
      </w:tr>
      <w:tr>
        <w:tblPrEx>
          <w:tblCellMar>
            <w:top w:w="0" w:type="dxa"/>
            <w:left w:w="0" w:type="dxa"/>
            <w:bottom w:w="0" w:type="dxa"/>
            <w:right w:w="0" w:type="dxa"/>
          </w:tblCellMar>
        </w:tblPrEx>
        <w:trPr>
          <w:trHeight w:val="157"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可持续发展能力（15分）</w:t>
            </w:r>
          </w:p>
          <w:p>
            <w:pPr>
              <w:widowControl/>
              <w:jc w:val="left"/>
              <w:rPr>
                <w:rFonts w:ascii="新宋体" w:hAnsi="新宋体" w:eastAsia="新宋体" w:cs="新宋体"/>
                <w:color w:val="000000" w:themeColor="text1"/>
                <w:sz w:val="18"/>
                <w:szCs w:val="18"/>
              </w:rPr>
            </w:pP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重点改革（重点工作）完成情况（5分）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5</w:t>
            </w:r>
          </w:p>
        </w:tc>
      </w:tr>
      <w:tr>
        <w:tblPrEx>
          <w:tblCellMar>
            <w:top w:w="0" w:type="dxa"/>
            <w:left w:w="0" w:type="dxa"/>
            <w:bottom w:w="0" w:type="dxa"/>
            <w:right w:w="0" w:type="dxa"/>
          </w:tblCellMar>
        </w:tblPrEx>
        <w:trPr>
          <w:trHeight w:val="320"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科技（制度、方法、机制等）创新（5分）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4</w:t>
            </w:r>
          </w:p>
        </w:tc>
      </w:tr>
      <w:tr>
        <w:tblPrEx>
          <w:tblCellMar>
            <w:top w:w="0" w:type="dxa"/>
            <w:left w:w="0" w:type="dxa"/>
            <w:bottom w:w="0" w:type="dxa"/>
            <w:right w:w="0" w:type="dxa"/>
          </w:tblCellMar>
        </w:tblPrEx>
        <w:trPr>
          <w:trHeight w:val="385"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人才培养（5分）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4</w:t>
            </w:r>
          </w:p>
        </w:tc>
      </w:tr>
      <w:tr>
        <w:tblPrEx>
          <w:tblCellMar>
            <w:top w:w="0" w:type="dxa"/>
            <w:left w:w="0" w:type="dxa"/>
            <w:bottom w:w="0" w:type="dxa"/>
            <w:right w:w="0" w:type="dxa"/>
          </w:tblCellMar>
        </w:tblPrEx>
        <w:trPr>
          <w:trHeight w:val="432"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restart"/>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满意度（10分）</w:t>
            </w:r>
          </w:p>
        </w:tc>
        <w:tc>
          <w:tcPr>
            <w:tcW w:w="3402" w:type="dxa"/>
            <w:tcBorders>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协作部门满意度（3分）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3</w:t>
            </w:r>
          </w:p>
        </w:tc>
      </w:tr>
      <w:tr>
        <w:tblPrEx>
          <w:tblCellMar>
            <w:top w:w="0" w:type="dxa"/>
            <w:left w:w="0" w:type="dxa"/>
            <w:bottom w:w="0" w:type="dxa"/>
            <w:right w:w="0" w:type="dxa"/>
          </w:tblCellMar>
        </w:tblPrEx>
        <w:trPr>
          <w:trHeight w:val="396"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管理对象满意度（3分）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2</w:t>
            </w:r>
          </w:p>
        </w:tc>
      </w:tr>
      <w:tr>
        <w:tblPrEx>
          <w:tblCellMar>
            <w:top w:w="0" w:type="dxa"/>
            <w:left w:w="0" w:type="dxa"/>
            <w:bottom w:w="0" w:type="dxa"/>
            <w:right w:w="0" w:type="dxa"/>
          </w:tblCellMar>
        </w:tblPrEx>
        <w:trPr>
          <w:trHeight w:val="411" w:hRule="atLeast"/>
        </w:trPr>
        <w:tc>
          <w:tcPr>
            <w:tcW w:w="1702"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2268"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p>
        </w:tc>
        <w:tc>
          <w:tcPr>
            <w:tcW w:w="3402" w:type="dxa"/>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社会公众满意度（4分）</w:t>
            </w:r>
          </w:p>
        </w:tc>
        <w:tc>
          <w:tcPr>
            <w:tcW w:w="1451" w:type="dxa"/>
            <w:tcBorders>
              <w:bottom w:val="single" w:color="000000" w:sz="4" w:space="0"/>
              <w:right w:val="single" w:color="000000" w:sz="4" w:space="0"/>
            </w:tcBorders>
            <w:tcMar>
              <w:top w:w="0" w:type="dxa"/>
              <w:left w:w="108" w:type="dxa"/>
              <w:bottom w:w="0" w:type="dxa"/>
              <w:right w:w="108" w:type="dxa"/>
            </w:tcMar>
          </w:tcPr>
          <w:p>
            <w:pPr>
              <w:widowControl/>
              <w:jc w:val="center"/>
              <w:rPr>
                <w:rFonts w:ascii="新宋体" w:hAnsi="新宋体" w:eastAsia="新宋体" w:cs="新宋体"/>
                <w:color w:val="000000" w:themeColor="text1"/>
                <w:sz w:val="18"/>
                <w:szCs w:val="18"/>
              </w:rPr>
            </w:pPr>
            <w:r>
              <w:rPr>
                <w:rFonts w:hint="eastAsia" w:ascii="新宋体" w:hAnsi="新宋体" w:eastAsia="新宋体" w:cs="新宋体"/>
                <w:color w:val="000000" w:themeColor="text1"/>
                <w:sz w:val="18"/>
                <w:szCs w:val="18"/>
              </w:rPr>
              <w:t>3</w:t>
            </w:r>
          </w:p>
        </w:tc>
      </w:tr>
    </w:tbl>
    <w:p>
      <w:pPr>
        <w:spacing w:line="580" w:lineRule="exact"/>
        <w:ind w:firstLine="562" w:firstLineChars="200"/>
        <w:rPr>
          <w:rFonts w:ascii="新宋体" w:hAnsi="新宋体" w:eastAsia="新宋体" w:cs="新宋体"/>
          <w:b/>
          <w:bCs/>
          <w:color w:val="000000" w:themeColor="text1"/>
          <w:sz w:val="28"/>
          <w:szCs w:val="28"/>
        </w:rPr>
      </w:pPr>
      <w:r>
        <w:rPr>
          <w:rFonts w:hint="eastAsia" w:ascii="新宋体" w:hAnsi="新宋体" w:eastAsia="新宋体" w:cs="新宋体"/>
          <w:b/>
          <w:bCs/>
          <w:color w:val="000000" w:themeColor="text1"/>
          <w:sz w:val="28"/>
          <w:szCs w:val="28"/>
        </w:rPr>
        <w:t>四、评价结论及建议</w:t>
      </w:r>
    </w:p>
    <w:p>
      <w:pPr>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（一）评价结论。</w:t>
      </w:r>
      <w:r>
        <w:rPr>
          <w:rFonts w:hint="eastAsia" w:ascii="新宋体" w:hAnsi="新宋体" w:eastAsia="新宋体" w:cs="新宋体"/>
          <w:color w:val="000000" w:themeColor="text1"/>
          <w:sz w:val="28"/>
          <w:szCs w:val="28"/>
          <w:shd w:val="clear" w:color="auto" w:fill="FFFFFF"/>
        </w:rPr>
        <w:t>我馆严格按照年初预算进行部门整体支出，专款专用，</w:t>
      </w:r>
      <w:r>
        <w:rPr>
          <w:rFonts w:hint="eastAsia" w:ascii="新宋体" w:hAnsi="新宋体" w:eastAsia="新宋体" w:cs="新宋体"/>
          <w:color w:val="000000" w:themeColor="text1"/>
          <w:sz w:val="28"/>
          <w:szCs w:val="28"/>
        </w:rPr>
        <w:t>专项核算，不存在挪用、超标现象。</w:t>
      </w:r>
    </w:p>
    <w:p>
      <w:pPr>
        <w:spacing w:line="58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（二）存在问题。</w:t>
      </w:r>
      <w:r>
        <w:rPr>
          <w:rFonts w:hint="eastAsia" w:ascii="新宋体" w:hAnsi="新宋体" w:eastAsia="新宋体" w:cs="新宋体"/>
          <w:color w:val="000000" w:themeColor="text1"/>
          <w:sz w:val="28"/>
          <w:szCs w:val="28"/>
          <w:shd w:val="clear" w:color="auto" w:fill="FFFFFF"/>
        </w:rPr>
        <w:t>我馆的支出管理项目还有待进一步细化和量化，强化机关经费预算管理的刚性约束，项目支出按预算和工作进度执行，进一步规范各项支出。</w:t>
      </w:r>
    </w:p>
    <w:p>
      <w:pPr>
        <w:pStyle w:val="10"/>
        <w:widowControl/>
        <w:shd w:val="clear" w:color="auto" w:fill="FFFFFF"/>
        <w:spacing w:beforeAutospacing="0" w:afterAutospacing="0" w:line="33" w:lineRule="atLeast"/>
        <w:ind w:firstLine="560" w:firstLineChars="200"/>
        <w:jc w:val="both"/>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（三）改进建议。</w:t>
      </w:r>
      <w:r>
        <w:rPr>
          <w:rFonts w:hint="eastAsia" w:ascii="新宋体" w:hAnsi="新宋体" w:eastAsia="新宋体" w:cs="新宋体"/>
          <w:color w:val="000000" w:themeColor="text1"/>
          <w:sz w:val="28"/>
          <w:szCs w:val="28"/>
          <w:shd w:val="clear" w:color="auto" w:fill="FFFFFF"/>
        </w:rPr>
        <w:t>我馆2019年度财政预算执行实际支出经费与财政预算存在较大缺口，请求县财政解决相关缺口资金。</w:t>
      </w:r>
    </w:p>
    <w:p>
      <w:pPr>
        <w:pStyle w:val="10"/>
        <w:widowControl/>
        <w:shd w:val="clear" w:color="auto" w:fill="FFFFFF"/>
        <w:spacing w:beforeAutospacing="0" w:afterAutospacing="0" w:line="33" w:lineRule="atLeast"/>
        <w:ind w:firstLine="420"/>
        <w:jc w:val="both"/>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shd w:val="clear" w:color="auto" w:fill="FFFFFF"/>
        </w:rPr>
        <w:t> </w:t>
      </w:r>
    </w:p>
    <w:p>
      <w:pPr>
        <w:widowControl/>
        <w:jc w:val="left"/>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br w:type="page"/>
      </w:r>
    </w:p>
    <w:p>
      <w:pPr>
        <w:pStyle w:val="3"/>
        <w:rPr>
          <w:rStyle w:val="20"/>
          <w:rFonts w:hint="eastAsia" w:asciiTheme="majorEastAsia" w:hAnsiTheme="majorEastAsia"/>
          <w:b/>
          <w:bCs w:val="0"/>
          <w:sz w:val="30"/>
          <w:szCs w:val="30"/>
        </w:rPr>
      </w:pPr>
      <w:bookmarkStart w:id="46" w:name="_Toc15396617"/>
      <w:r>
        <w:rPr>
          <w:rStyle w:val="20"/>
          <w:rFonts w:hint="eastAsia" w:ascii="仿宋" w:hAnsi="仿宋" w:eastAsia="仿宋"/>
          <w:b w:val="0"/>
          <w:bCs w:val="0"/>
          <w:sz w:val="32"/>
          <w:szCs w:val="32"/>
        </w:rPr>
        <w:t>附件</w:t>
      </w:r>
      <w:bookmarkEnd w:id="46"/>
      <w:r>
        <w:rPr>
          <w:rStyle w:val="20"/>
          <w:rFonts w:hint="eastAsia" w:ascii="仿宋" w:hAnsi="仿宋" w:eastAsia="仿宋"/>
          <w:b w:val="0"/>
          <w:bCs w:val="0"/>
          <w:sz w:val="32"/>
          <w:szCs w:val="32"/>
        </w:rPr>
        <w:t>二</w:t>
      </w:r>
    </w:p>
    <w:p>
      <w:pPr>
        <w:ind w:firstLine="3162" w:firstLineChars="1050"/>
        <w:rPr>
          <w:rFonts w:asciiTheme="majorEastAsia" w:hAnsiTheme="majorEastAsia" w:eastAsiaTheme="majorEastAsia"/>
          <w:b/>
          <w:sz w:val="30"/>
          <w:szCs w:val="30"/>
        </w:rPr>
      </w:pPr>
      <w:r>
        <w:rPr>
          <w:rFonts w:hint="eastAsia" w:asciiTheme="majorEastAsia" w:hAnsiTheme="majorEastAsia" w:eastAsiaTheme="majorEastAsia"/>
          <w:b/>
          <w:sz w:val="30"/>
          <w:szCs w:val="30"/>
        </w:rPr>
        <w:t>乐至县档案馆</w:t>
      </w:r>
    </w:p>
    <w:p>
      <w:pPr>
        <w:spacing w:line="580" w:lineRule="exact"/>
        <w:jc w:val="center"/>
        <w:rPr>
          <w:rFonts w:cs="方正小标宋简体" w:asciiTheme="majorEastAsia" w:hAnsiTheme="majorEastAsia" w:eastAsiaTheme="majorEastAsia"/>
          <w:b/>
          <w:sz w:val="30"/>
          <w:szCs w:val="30"/>
        </w:rPr>
      </w:pPr>
      <w:r>
        <w:rPr>
          <w:rFonts w:hint="eastAsia" w:cs="方正小标宋简体" w:asciiTheme="majorEastAsia" w:hAnsiTheme="majorEastAsia" w:eastAsiaTheme="majorEastAsia"/>
          <w:b/>
          <w:sz w:val="30"/>
          <w:szCs w:val="30"/>
        </w:rPr>
        <w:t>2019年档案保管保护项目绩效评价报告</w:t>
      </w:r>
    </w:p>
    <w:p>
      <w:pPr>
        <w:ind w:firstLine="560" w:firstLineChars="200"/>
        <w:rPr>
          <w:rFonts w:ascii="宋体" w:hAnsi="宋体" w:cs="宋体"/>
          <w:sz w:val="28"/>
          <w:szCs w:val="28"/>
        </w:rPr>
      </w:pPr>
      <w:r>
        <w:rPr>
          <w:rFonts w:hint="eastAsia" w:ascii="宋体" w:hAnsi="宋体" w:cs="宋体"/>
          <w:sz w:val="28"/>
          <w:szCs w:val="28"/>
        </w:rPr>
        <w:t>一、项目概况</w:t>
      </w:r>
    </w:p>
    <w:p>
      <w:pPr>
        <w:ind w:firstLine="560" w:firstLineChars="200"/>
        <w:rPr>
          <w:rFonts w:ascii="宋体" w:hAnsi="宋体" w:cs="宋体"/>
          <w:sz w:val="28"/>
          <w:szCs w:val="28"/>
        </w:rPr>
      </w:pPr>
      <w:r>
        <w:rPr>
          <w:rFonts w:hint="eastAsia" w:ascii="宋体" w:hAnsi="宋体" w:cs="宋体"/>
          <w:sz w:val="28"/>
          <w:szCs w:val="28"/>
        </w:rPr>
        <w:t>（一）资金来源。</w:t>
      </w:r>
    </w:p>
    <w:p>
      <w:pPr>
        <w:ind w:firstLine="560" w:firstLineChars="200"/>
        <w:rPr>
          <w:rFonts w:ascii="宋体" w:hAnsi="宋体" w:cs="宋体"/>
          <w:sz w:val="28"/>
          <w:szCs w:val="28"/>
        </w:rPr>
      </w:pPr>
      <w:r>
        <w:rPr>
          <w:rFonts w:hint="eastAsia" w:ascii="宋体" w:hAnsi="宋体" w:cs="宋体"/>
          <w:sz w:val="28"/>
          <w:szCs w:val="28"/>
        </w:rPr>
        <w:t>县级财政预算档案保管保护专项资金，属于乐至县财政配套的专项资金，主要用于乐至县档案馆档案保管保护正常运转并提供基本性档案服务经费。</w:t>
      </w:r>
    </w:p>
    <w:p>
      <w:pPr>
        <w:widowControl/>
        <w:spacing w:line="560" w:lineRule="exact"/>
        <w:ind w:firstLine="700" w:firstLineChars="250"/>
        <w:jc w:val="left"/>
        <w:rPr>
          <w:rFonts w:ascii="宋体" w:hAnsi="宋体" w:cs="宋体"/>
          <w:sz w:val="28"/>
          <w:szCs w:val="28"/>
        </w:rPr>
      </w:pPr>
      <w:r>
        <w:rPr>
          <w:rFonts w:hint="eastAsia" w:ascii="宋体" w:hAnsi="宋体" w:cs="宋体"/>
          <w:sz w:val="28"/>
          <w:szCs w:val="28"/>
        </w:rPr>
        <w:t>1.项目主要内容：现存档案的库房管理，档案流动过程中的安全防护，保护档案的相关技术措施。</w:t>
      </w:r>
    </w:p>
    <w:p>
      <w:pPr>
        <w:pStyle w:val="18"/>
        <w:widowControl/>
        <w:spacing w:line="560" w:lineRule="exact"/>
        <w:ind w:firstLine="700" w:firstLineChars="250"/>
        <w:jc w:val="left"/>
        <w:rPr>
          <w:rFonts w:cs="新宋体" w:asciiTheme="majorEastAsia" w:hAnsiTheme="majorEastAsia" w:eastAsiaTheme="majorEastAsia"/>
          <w:color w:val="000000" w:themeColor="text1"/>
          <w:sz w:val="28"/>
          <w:szCs w:val="28"/>
        </w:rPr>
      </w:pPr>
      <w:r>
        <w:rPr>
          <w:rFonts w:hint="eastAsia" w:ascii="宋体" w:hAnsi="宋体" w:cs="宋体"/>
          <w:sz w:val="28"/>
          <w:szCs w:val="28"/>
        </w:rPr>
        <w:t>2、项目目标：</w:t>
      </w:r>
      <w:r>
        <w:rPr>
          <w:rFonts w:hint="eastAsia" w:cs="新宋体" w:asciiTheme="majorEastAsia" w:hAnsiTheme="majorEastAsia" w:eastAsiaTheme="majorEastAsia"/>
          <w:color w:val="000000" w:themeColor="text1"/>
          <w:sz w:val="28"/>
          <w:szCs w:val="28"/>
        </w:rPr>
        <w:t>完成本年度库存档案信息电子著录。对立档案单位开展了档案“家底”清理，并对相关立档单位开展了业务指导和行政执法检查。为机关单位、干部群众提供档案查阅利用服务。</w:t>
      </w:r>
    </w:p>
    <w:p>
      <w:pPr>
        <w:ind w:firstLine="560" w:firstLineChars="200"/>
        <w:rPr>
          <w:rFonts w:ascii="宋体" w:hAnsi="宋体" w:cs="宋体"/>
          <w:sz w:val="28"/>
          <w:szCs w:val="28"/>
        </w:rPr>
      </w:pPr>
      <w:r>
        <w:rPr>
          <w:rFonts w:hint="eastAsia" w:ascii="宋体" w:hAnsi="宋体" w:cs="宋体"/>
          <w:sz w:val="28"/>
          <w:szCs w:val="28"/>
        </w:rPr>
        <w:t>（三）项目资金申报相符性。</w:t>
      </w:r>
    </w:p>
    <w:p>
      <w:pPr>
        <w:snapToGrid w:val="0"/>
        <w:spacing w:before="93" w:line="600" w:lineRule="exact"/>
        <w:ind w:firstLine="700" w:firstLineChars="250"/>
        <w:jc w:val="left"/>
        <w:rPr>
          <w:rFonts w:ascii="新宋体" w:hAnsi="新宋体" w:eastAsia="新宋体"/>
          <w:b/>
          <w:color w:val="000000" w:themeColor="text1"/>
          <w:sz w:val="28"/>
          <w:szCs w:val="28"/>
        </w:rPr>
      </w:pPr>
      <w:r>
        <w:rPr>
          <w:rFonts w:hint="eastAsia" w:ascii="宋体" w:hAnsi="宋体" w:cs="宋体"/>
          <w:sz w:val="28"/>
          <w:szCs w:val="28"/>
        </w:rPr>
        <w:t>乐至县档案馆的职能职责就是</w:t>
      </w:r>
      <w:r>
        <w:rPr>
          <w:rFonts w:hint="eastAsia" w:ascii="新宋体" w:hAnsi="新宋体" w:eastAsia="新宋体" w:cs="新宋体"/>
          <w:sz w:val="28"/>
          <w:szCs w:val="28"/>
        </w:rPr>
        <w:t>制定本区域档案工作规范性文件并负责组织实施</w:t>
      </w:r>
      <w:r>
        <w:rPr>
          <w:rFonts w:hint="eastAsia" w:ascii="宋体" w:hAnsi="宋体" w:cs="宋体"/>
          <w:sz w:val="28"/>
          <w:szCs w:val="28"/>
        </w:rPr>
        <w:t>：一、</w:t>
      </w:r>
      <w:r>
        <w:rPr>
          <w:rFonts w:hint="eastAsia" w:ascii="新宋体" w:hAnsi="新宋体" w:eastAsia="新宋体"/>
          <w:color w:val="000000" w:themeColor="text1"/>
          <w:sz w:val="28"/>
          <w:szCs w:val="28"/>
        </w:rPr>
        <w:t>对县、乡机构改革涉改单位档案处置全流程进行监督、指导，确保各单位档案收集齐全完整；二、对医院、学校、企业、园区档案工作加强指导；三、对重点项目、脫贫攻艰、地名普查档案进行实地指导，确保符合规范。</w:t>
      </w:r>
      <w:r>
        <w:rPr>
          <w:rFonts w:hint="eastAsia" w:ascii="宋体" w:hAnsi="宋体" w:cs="宋体"/>
          <w:sz w:val="28"/>
          <w:szCs w:val="28"/>
        </w:rPr>
        <w:t>所以项目申报内容与具体实施内容相符、申报目标合理可行。</w:t>
      </w:r>
    </w:p>
    <w:p>
      <w:pPr>
        <w:ind w:firstLine="700" w:firstLineChars="250"/>
        <w:rPr>
          <w:rFonts w:ascii="宋体" w:hAnsi="宋体" w:cs="宋体"/>
          <w:sz w:val="28"/>
          <w:szCs w:val="28"/>
        </w:rPr>
      </w:pPr>
      <w:r>
        <w:rPr>
          <w:rFonts w:hint="eastAsia" w:ascii="宋体" w:hAnsi="宋体" w:cs="宋体"/>
          <w:sz w:val="28"/>
          <w:szCs w:val="28"/>
        </w:rPr>
        <w:t>二、项目实施及管理情况</w:t>
      </w:r>
    </w:p>
    <w:p>
      <w:pPr>
        <w:ind w:firstLine="560" w:firstLineChars="200"/>
        <w:rPr>
          <w:rFonts w:ascii="宋体" w:hAnsi="宋体" w:cs="宋体"/>
          <w:sz w:val="28"/>
          <w:szCs w:val="28"/>
        </w:rPr>
      </w:pPr>
      <w:r>
        <w:rPr>
          <w:rFonts w:hint="eastAsia" w:ascii="宋体" w:hAnsi="宋体" w:cs="宋体"/>
          <w:sz w:val="28"/>
          <w:szCs w:val="28"/>
        </w:rPr>
        <w:t>（一）资金计划、到位及使用情况。</w:t>
      </w:r>
    </w:p>
    <w:p>
      <w:pPr>
        <w:ind w:firstLine="840" w:firstLineChars="300"/>
        <w:rPr>
          <w:rFonts w:ascii="宋体" w:hAnsi="宋体" w:cs="宋体"/>
          <w:sz w:val="28"/>
          <w:szCs w:val="28"/>
        </w:rPr>
      </w:pPr>
      <w:r>
        <w:rPr>
          <w:rFonts w:hint="eastAsia" w:ascii="宋体" w:hAnsi="宋体" w:cs="宋体"/>
          <w:sz w:val="28"/>
          <w:szCs w:val="28"/>
        </w:rPr>
        <w:t>1、资金计划及到位</w:t>
      </w:r>
    </w:p>
    <w:p>
      <w:pPr>
        <w:ind w:firstLine="709"/>
        <w:rPr>
          <w:rFonts w:ascii="新宋体" w:hAnsi="新宋体" w:eastAsia="新宋体" w:cs="新宋体"/>
          <w:color w:val="000000"/>
          <w:sz w:val="28"/>
          <w:szCs w:val="28"/>
        </w:rPr>
      </w:pPr>
      <w:r>
        <w:rPr>
          <w:rFonts w:hint="eastAsia" w:ascii="新宋体" w:hAnsi="新宋体" w:eastAsia="新宋体"/>
          <w:sz w:val="28"/>
          <w:szCs w:val="28"/>
        </w:rPr>
        <w:t>乐至县档案馆2019年年初部门预算专项资金档案保管保护经费16万元，</w:t>
      </w:r>
      <w:r>
        <w:rPr>
          <w:rFonts w:hint="eastAsia" w:ascii="新宋体" w:hAnsi="新宋体" w:eastAsia="新宋体" w:cs="新宋体"/>
          <w:sz w:val="28"/>
          <w:szCs w:val="28"/>
        </w:rPr>
        <w:t>根据资府办发（2017）61号文件要求：“档案馆保管保护经费按每年每卷不低于2元，纳入各级财政年初预算”。</w:t>
      </w:r>
      <w:r>
        <w:rPr>
          <w:rFonts w:hint="eastAsia" w:ascii="新宋体" w:hAnsi="新宋体" w:eastAsia="新宋体" w:cs="新宋体"/>
          <w:color w:val="000000" w:themeColor="text1"/>
          <w:sz w:val="28"/>
          <w:szCs w:val="28"/>
        </w:rPr>
        <w:t>调整预算20.24万元，完成预算100%。</w:t>
      </w:r>
    </w:p>
    <w:p>
      <w:pPr>
        <w:ind w:firstLine="840" w:firstLineChars="300"/>
        <w:rPr>
          <w:rFonts w:ascii="宋体" w:hAnsi="宋体" w:cs="宋体"/>
          <w:sz w:val="28"/>
          <w:szCs w:val="28"/>
        </w:rPr>
      </w:pPr>
      <w:r>
        <w:rPr>
          <w:rFonts w:hint="eastAsia" w:ascii="宋体" w:hAnsi="宋体" w:cs="宋体"/>
          <w:sz w:val="28"/>
          <w:szCs w:val="28"/>
        </w:rPr>
        <w:t>2、资金使用</w:t>
      </w:r>
    </w:p>
    <w:p>
      <w:pPr>
        <w:ind w:firstLine="840" w:firstLineChars="300"/>
        <w:rPr>
          <w:rFonts w:ascii="宋体" w:hAnsi="宋体" w:cs="宋体"/>
          <w:sz w:val="28"/>
          <w:szCs w:val="28"/>
        </w:rPr>
      </w:pPr>
      <w:r>
        <w:rPr>
          <w:rFonts w:hint="eastAsia" w:ascii="宋体" w:hAnsi="宋体" w:cs="宋体"/>
          <w:sz w:val="28"/>
          <w:szCs w:val="28"/>
        </w:rPr>
        <w:t>资金主要用于</w:t>
      </w:r>
      <w:r>
        <w:rPr>
          <w:rFonts w:hint="eastAsia" w:ascii="新宋体" w:hAnsi="新宋体" w:eastAsia="新宋体"/>
          <w:sz w:val="28"/>
          <w:szCs w:val="28"/>
        </w:rPr>
        <w:t>主要用于县档案馆的档案保管、档案保护、档案整理、临聘人员工资、劳务和档案设备添置维修等经费。</w:t>
      </w:r>
      <w:r>
        <w:rPr>
          <w:rFonts w:hint="eastAsia" w:ascii="宋体" w:hAnsi="宋体" w:cs="宋体"/>
          <w:sz w:val="28"/>
          <w:szCs w:val="28"/>
        </w:rPr>
        <w:t>资金严格按照文件要求执行，专款专用，专项核算，没有列支与项目内容无关的费用。</w:t>
      </w:r>
    </w:p>
    <w:p>
      <w:pPr>
        <w:ind w:firstLine="560" w:firstLineChars="200"/>
        <w:rPr>
          <w:rFonts w:ascii="宋体" w:hAnsi="宋体" w:cs="宋体"/>
          <w:sz w:val="28"/>
          <w:szCs w:val="28"/>
        </w:rPr>
      </w:pPr>
      <w:r>
        <w:rPr>
          <w:rFonts w:hint="eastAsia" w:ascii="宋体" w:hAnsi="宋体" w:cs="宋体"/>
          <w:sz w:val="28"/>
          <w:szCs w:val="28"/>
        </w:rPr>
        <w:t>（二）项目财务管理情况。</w:t>
      </w:r>
    </w:p>
    <w:p>
      <w:pPr>
        <w:ind w:firstLine="840" w:firstLineChars="300"/>
        <w:rPr>
          <w:rFonts w:ascii="宋体" w:hAnsi="宋体" w:cs="宋体"/>
          <w:sz w:val="28"/>
          <w:szCs w:val="28"/>
        </w:rPr>
      </w:pPr>
      <w:r>
        <w:rPr>
          <w:rFonts w:hint="eastAsia" w:ascii="宋体" w:hAnsi="宋体" w:cs="宋体"/>
          <w:sz w:val="28"/>
          <w:szCs w:val="28"/>
        </w:rPr>
        <w:t>项目资金实行专款专用，专项核算。费用支出是在完成项目后，再由馆长签批。帐务处理及时，核算准确规范。</w:t>
      </w:r>
    </w:p>
    <w:p>
      <w:pPr>
        <w:ind w:firstLine="560" w:firstLineChars="200"/>
        <w:rPr>
          <w:rFonts w:ascii="宋体" w:hAnsi="宋体" w:cs="宋体"/>
          <w:sz w:val="28"/>
          <w:szCs w:val="28"/>
        </w:rPr>
      </w:pPr>
      <w:r>
        <w:rPr>
          <w:rFonts w:hint="eastAsia" w:ascii="宋体" w:hAnsi="宋体" w:cs="宋体"/>
          <w:sz w:val="28"/>
          <w:szCs w:val="28"/>
        </w:rPr>
        <w:t>(三）项目组织实施情况。</w:t>
      </w:r>
    </w:p>
    <w:p>
      <w:pPr>
        <w:rPr>
          <w:rFonts w:ascii="宋体" w:hAnsi="宋体" w:cs="宋体"/>
          <w:sz w:val="28"/>
          <w:szCs w:val="28"/>
        </w:rPr>
      </w:pPr>
      <w:r>
        <w:rPr>
          <w:rFonts w:hint="eastAsia" w:ascii="宋体" w:hAnsi="宋体" w:cs="宋体"/>
          <w:sz w:val="28"/>
          <w:szCs w:val="28"/>
        </w:rPr>
        <w:t>   为确保项目顺利实施，成立了由馆长任组长，各分管领导为副组长，各业务室为成员的工作组。按照《档案保管保护专项资金管理暂行办法》年初拟定工作计划，经党组审定后再实施。</w:t>
      </w:r>
    </w:p>
    <w:p>
      <w:pPr>
        <w:ind w:firstLine="560" w:firstLineChars="200"/>
        <w:rPr>
          <w:rFonts w:ascii="宋体" w:hAnsi="宋体" w:cs="宋体"/>
          <w:sz w:val="28"/>
          <w:szCs w:val="28"/>
        </w:rPr>
      </w:pPr>
      <w:r>
        <w:rPr>
          <w:rFonts w:hint="eastAsia" w:ascii="宋体" w:hAnsi="宋体" w:cs="宋体"/>
          <w:sz w:val="28"/>
          <w:szCs w:val="28"/>
        </w:rPr>
        <w:t>三、目标完成情况</w:t>
      </w:r>
    </w:p>
    <w:p>
      <w:pPr>
        <w:ind w:firstLine="560" w:firstLineChars="200"/>
        <w:rPr>
          <w:rFonts w:ascii="宋体" w:hAnsi="宋体" w:cs="宋体"/>
          <w:sz w:val="28"/>
          <w:szCs w:val="28"/>
        </w:rPr>
      </w:pPr>
      <w:r>
        <w:rPr>
          <w:rFonts w:hint="eastAsia" w:ascii="宋体" w:hAnsi="宋体" w:cs="宋体"/>
          <w:sz w:val="28"/>
          <w:szCs w:val="28"/>
        </w:rPr>
        <w:t>严格按照县财政文件要求和《档案保管保护专项资金管理暂行办法》，做好了预算编制、指标安排等相关工作。</w:t>
      </w:r>
    </w:p>
    <w:p>
      <w:pPr>
        <w:ind w:firstLine="560" w:firstLineChars="200"/>
        <w:rPr>
          <w:rFonts w:ascii="宋体" w:hAnsi="宋体" w:cs="宋体"/>
          <w:sz w:val="28"/>
          <w:szCs w:val="28"/>
        </w:rPr>
      </w:pPr>
    </w:p>
    <w:tbl>
      <w:tblPr>
        <w:tblStyle w:val="11"/>
        <w:tblpPr w:leftFromText="180" w:rightFromText="180" w:vertAnchor="text" w:horzAnchor="page" w:tblpXSpec="center" w:tblpY="423"/>
        <w:tblOverlap w:val="never"/>
        <w:tblW w:w="8566" w:type="dxa"/>
        <w:tblInd w:w="266" w:type="dxa"/>
        <w:tblLayout w:type="fixed"/>
        <w:tblCellMar>
          <w:top w:w="0" w:type="dxa"/>
          <w:left w:w="0" w:type="dxa"/>
          <w:bottom w:w="0" w:type="dxa"/>
          <w:right w:w="0" w:type="dxa"/>
        </w:tblCellMar>
      </w:tblPr>
      <w:tblGrid>
        <w:gridCol w:w="637"/>
        <w:gridCol w:w="1048"/>
        <w:gridCol w:w="1006"/>
        <w:gridCol w:w="1909"/>
        <w:gridCol w:w="1983"/>
        <w:gridCol w:w="1983"/>
      </w:tblGrid>
      <w:tr>
        <w:tblPrEx>
          <w:tblCellMar>
            <w:top w:w="0" w:type="dxa"/>
            <w:left w:w="0" w:type="dxa"/>
            <w:bottom w:w="0" w:type="dxa"/>
            <w:right w:w="0" w:type="dxa"/>
          </w:tblCellMar>
        </w:tblPrEx>
        <w:trPr>
          <w:trHeight w:val="1359" w:hRule="atLeast"/>
        </w:trPr>
        <w:tc>
          <w:tcPr>
            <w:tcW w:w="8564" w:type="dxa"/>
            <w:gridSpan w:val="6"/>
            <w:tcMar>
              <w:top w:w="15" w:type="dxa"/>
              <w:left w:w="15" w:type="dxa"/>
              <w:bottom w:w="0" w:type="dxa"/>
              <w:right w:w="15" w:type="dxa"/>
            </w:tcMar>
            <w:vAlign w:val="center"/>
          </w:tcPr>
          <w:p>
            <w:pPr>
              <w:pStyle w:val="18"/>
              <w:widowControl/>
              <w:ind w:left="3387" w:leftChars="1213" w:hanging="840" w:hangingChars="300"/>
              <w:textAlignment w:val="center"/>
              <w:rPr>
                <w:rFonts w:ascii="宋体" w:hAnsi="宋体" w:cs="宋体"/>
                <w:color w:val="000000" w:themeColor="text1"/>
                <w:szCs w:val="21"/>
              </w:rPr>
            </w:pPr>
            <w:r>
              <w:rPr>
                <w:rFonts w:hint="eastAsia" w:ascii="黑体" w:hAnsi="黑体" w:eastAsia="黑体" w:cs="宋体"/>
                <w:bCs/>
                <w:color w:val="000000" w:themeColor="text1"/>
                <w:kern w:val="0"/>
                <w:sz w:val="28"/>
                <w:szCs w:val="28"/>
              </w:rPr>
              <w:t>项目支出绩效目标完成情况表</w:t>
            </w:r>
            <w:r>
              <w:rPr>
                <w:rFonts w:hint="eastAsia" w:ascii="宋体" w:hAnsi="宋体" w:cs="宋体"/>
                <w:b/>
                <w:bCs/>
                <w:color w:val="000000" w:themeColor="text1"/>
                <w:kern w:val="0"/>
                <w:sz w:val="28"/>
                <w:szCs w:val="28"/>
              </w:rPr>
              <w:br w:type="textWrapping"/>
            </w:r>
            <w:r>
              <w:rPr>
                <w:rFonts w:hint="eastAsia" w:ascii="宋体" w:hAnsi="宋体" w:cs="宋体"/>
                <w:color w:val="000000" w:themeColor="text1"/>
                <w:kern w:val="0"/>
                <w:sz w:val="28"/>
                <w:szCs w:val="28"/>
              </w:rPr>
              <w:t>(2019年度)</w:t>
            </w:r>
          </w:p>
        </w:tc>
      </w:tr>
      <w:tr>
        <w:tblPrEx>
          <w:tblCellMar>
            <w:top w:w="0" w:type="dxa"/>
            <w:left w:w="0" w:type="dxa"/>
            <w:bottom w:w="0" w:type="dxa"/>
            <w:right w:w="0" w:type="dxa"/>
          </w:tblCellMar>
        </w:tblPrEx>
        <w:trPr>
          <w:trHeight w:val="696" w:hRule="atLeast"/>
        </w:trPr>
        <w:tc>
          <w:tcPr>
            <w:tcW w:w="2690"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项目名称</w:t>
            </w:r>
          </w:p>
        </w:tc>
        <w:tc>
          <w:tcPr>
            <w:tcW w:w="587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档案保管保护专项</w:t>
            </w:r>
          </w:p>
        </w:tc>
      </w:tr>
      <w:tr>
        <w:tblPrEx>
          <w:tblCellMar>
            <w:top w:w="0" w:type="dxa"/>
            <w:left w:w="0" w:type="dxa"/>
            <w:bottom w:w="0" w:type="dxa"/>
            <w:right w:w="0" w:type="dxa"/>
          </w:tblCellMar>
        </w:tblPrEx>
        <w:trPr>
          <w:trHeight w:val="679" w:hRule="atLeast"/>
        </w:trPr>
        <w:tc>
          <w:tcPr>
            <w:tcW w:w="2690"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预算单位</w:t>
            </w:r>
          </w:p>
        </w:tc>
        <w:tc>
          <w:tcPr>
            <w:tcW w:w="587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乐至县档案馆</w:t>
            </w:r>
          </w:p>
        </w:tc>
      </w:tr>
      <w:tr>
        <w:tblPrEx>
          <w:tblCellMar>
            <w:top w:w="0" w:type="dxa"/>
            <w:left w:w="0" w:type="dxa"/>
            <w:bottom w:w="0" w:type="dxa"/>
            <w:right w:w="0" w:type="dxa"/>
          </w:tblCellMar>
        </w:tblPrEx>
        <w:trPr>
          <w:trHeight w:val="627" w:hRule="atLeast"/>
        </w:trPr>
        <w:tc>
          <w:tcPr>
            <w:tcW w:w="637"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预算执行情况(万元)</w:t>
            </w:r>
          </w:p>
        </w:tc>
        <w:tc>
          <w:tcPr>
            <w:tcW w:w="2053"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预算数:</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20.24</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执行数:</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20.24</w:t>
            </w:r>
          </w:p>
        </w:tc>
      </w:tr>
      <w:tr>
        <w:tblPrEx>
          <w:tblCellMar>
            <w:top w:w="0" w:type="dxa"/>
            <w:left w:w="0" w:type="dxa"/>
            <w:bottom w:w="0" w:type="dxa"/>
            <w:right w:w="0" w:type="dxa"/>
          </w:tblCellMar>
        </w:tblPrEx>
        <w:trPr>
          <w:trHeight w:val="1035"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2053"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其中-财政拨款:</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20.24</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其中-财政拨款:</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20.24</w:t>
            </w:r>
          </w:p>
        </w:tc>
      </w:tr>
      <w:tr>
        <w:tblPrEx>
          <w:tblCellMar>
            <w:top w:w="0" w:type="dxa"/>
            <w:left w:w="0" w:type="dxa"/>
            <w:bottom w:w="0" w:type="dxa"/>
            <w:right w:w="0" w:type="dxa"/>
          </w:tblCellMar>
        </w:tblPrEx>
        <w:trPr>
          <w:trHeight w:val="94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2053"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其它资金:</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0</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其它资金:</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themeColor="text1"/>
                <w:szCs w:val="21"/>
              </w:rPr>
            </w:pPr>
            <w:r>
              <w:rPr>
                <w:rFonts w:hint="eastAsia" w:ascii="宋体" w:hAnsi="宋体" w:cs="宋体"/>
                <w:color w:val="000000" w:themeColor="text1"/>
                <w:szCs w:val="21"/>
              </w:rPr>
              <w:t>0</w:t>
            </w:r>
          </w:p>
        </w:tc>
      </w:tr>
      <w:tr>
        <w:tblPrEx>
          <w:tblCellMar>
            <w:top w:w="0" w:type="dxa"/>
            <w:left w:w="0" w:type="dxa"/>
            <w:bottom w:w="0" w:type="dxa"/>
            <w:right w:w="0" w:type="dxa"/>
          </w:tblCellMar>
        </w:tblPrEx>
        <w:trPr>
          <w:trHeight w:val="605" w:hRule="atLeast"/>
        </w:trPr>
        <w:tc>
          <w:tcPr>
            <w:tcW w:w="637"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年度目标完成情况</w:t>
            </w:r>
          </w:p>
        </w:tc>
        <w:tc>
          <w:tcPr>
            <w:tcW w:w="396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仿宋" w:hAnsi="仿宋" w:eastAsia="仿宋" w:cs="仿宋"/>
                <w:color w:val="000000" w:themeColor="text1"/>
                <w:szCs w:val="21"/>
              </w:rPr>
            </w:pPr>
            <w:r>
              <w:rPr>
                <w:rFonts w:hint="eastAsia" w:ascii="仿宋" w:hAnsi="仿宋" w:eastAsia="仿宋" w:cs="仿宋"/>
                <w:color w:val="000000" w:themeColor="text1"/>
                <w:kern w:val="0"/>
                <w:szCs w:val="21"/>
              </w:rPr>
              <w:t>预期目标</w:t>
            </w:r>
          </w:p>
        </w:tc>
        <w:tc>
          <w:tcPr>
            <w:tcW w:w="3965"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仿宋" w:hAnsi="仿宋" w:eastAsia="仿宋" w:cs="仿宋"/>
                <w:color w:val="000000" w:themeColor="text1"/>
                <w:szCs w:val="21"/>
              </w:rPr>
            </w:pPr>
            <w:r>
              <w:rPr>
                <w:rFonts w:hint="eastAsia" w:ascii="仿宋" w:hAnsi="仿宋" w:eastAsia="仿宋" w:cs="仿宋"/>
                <w:color w:val="000000" w:themeColor="text1"/>
                <w:kern w:val="0"/>
                <w:szCs w:val="21"/>
              </w:rPr>
              <w:t>实际完成目标</w:t>
            </w:r>
          </w:p>
        </w:tc>
      </w:tr>
      <w:tr>
        <w:tblPrEx>
          <w:tblCellMar>
            <w:top w:w="0" w:type="dxa"/>
            <w:left w:w="0" w:type="dxa"/>
            <w:bottom w:w="0" w:type="dxa"/>
            <w:right w:w="0" w:type="dxa"/>
          </w:tblCellMar>
        </w:tblPrEx>
        <w:trPr>
          <w:trHeight w:val="6032"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396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pacing w:line="56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1.完成库存档案信息电子著录6万条。</w:t>
            </w:r>
          </w:p>
          <w:p>
            <w:pPr>
              <w:widowControl/>
              <w:spacing w:line="56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2.接收地名普查档案及红旗丝厂公司档案7000卷。</w:t>
            </w:r>
          </w:p>
          <w:p>
            <w:pPr>
              <w:widowControl/>
              <w:spacing w:line="56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3.全年为机关单位、干部群众提供档案查阅利用服务2500人次。</w:t>
            </w:r>
          </w:p>
          <w:p>
            <w:pPr>
              <w:snapToGrid w:val="0"/>
              <w:spacing w:before="93" w:line="600" w:lineRule="exact"/>
              <w:ind w:firstLine="600"/>
              <w:jc w:val="left"/>
              <w:rPr>
                <w:rFonts w:ascii="新宋体" w:hAnsi="新宋体" w:eastAsia="新宋体" w:cs="新宋体"/>
                <w:b/>
                <w:color w:val="000000" w:themeColor="text1"/>
                <w:szCs w:val="21"/>
              </w:rPr>
            </w:pPr>
            <w:r>
              <w:rPr>
                <w:rFonts w:hint="eastAsia" w:ascii="新宋体" w:hAnsi="新宋体" w:eastAsia="新宋体" w:cs="新宋体"/>
                <w:color w:val="000000" w:themeColor="text1"/>
                <w:szCs w:val="21"/>
              </w:rPr>
              <w:t>4.完成了综合目标考核信息任务。</w:t>
            </w:r>
          </w:p>
          <w:p>
            <w:pPr>
              <w:widowControl/>
              <w:jc w:val="center"/>
              <w:textAlignment w:val="center"/>
              <w:rPr>
                <w:rFonts w:ascii="新宋体" w:hAnsi="新宋体" w:eastAsia="新宋体" w:cs="新宋体"/>
                <w:color w:val="000000" w:themeColor="text1"/>
                <w:szCs w:val="21"/>
              </w:rPr>
            </w:pPr>
          </w:p>
        </w:tc>
        <w:tc>
          <w:tcPr>
            <w:tcW w:w="3965"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pacing w:line="56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1、完成了库存档案信息电子著录6万条。</w:t>
            </w:r>
          </w:p>
          <w:p>
            <w:pPr>
              <w:widowControl/>
              <w:spacing w:line="56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2.接收地名普查档案及红旗丝厂公司档案7230卷。</w:t>
            </w:r>
          </w:p>
          <w:p>
            <w:pPr>
              <w:widowControl/>
              <w:spacing w:line="56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3.全年为机关单位、干部群众提供档案查阅利用服务2169人次，化解社会矛盾50余个。</w:t>
            </w:r>
          </w:p>
          <w:p>
            <w:pPr>
              <w:snapToGrid w:val="0"/>
              <w:spacing w:before="93" w:line="600" w:lineRule="exact"/>
              <w:ind w:firstLine="600"/>
              <w:jc w:val="left"/>
              <w:rPr>
                <w:rFonts w:ascii="新宋体" w:hAnsi="新宋体" w:eastAsia="新宋体" w:cs="新宋体"/>
                <w:color w:val="000000" w:themeColor="text1"/>
                <w:szCs w:val="21"/>
              </w:rPr>
            </w:pPr>
            <w:r>
              <w:rPr>
                <w:rFonts w:hint="eastAsia" w:ascii="新宋体" w:hAnsi="新宋体" w:eastAsia="新宋体" w:cs="新宋体"/>
                <w:color w:val="000000" w:themeColor="text1"/>
                <w:szCs w:val="21"/>
              </w:rPr>
              <w:t>4.完成了综合目标考核信息任务。</w:t>
            </w:r>
          </w:p>
        </w:tc>
      </w:tr>
      <w:tr>
        <w:tblPrEx>
          <w:tblCellMar>
            <w:top w:w="0" w:type="dxa"/>
            <w:left w:w="0" w:type="dxa"/>
            <w:bottom w:w="0" w:type="dxa"/>
            <w:right w:w="0" w:type="dxa"/>
          </w:tblCellMar>
        </w:tblPrEx>
        <w:trPr>
          <w:trHeight w:val="1148" w:hRule="atLeast"/>
        </w:trPr>
        <w:tc>
          <w:tcPr>
            <w:tcW w:w="637"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绩效指标完成情况</w:t>
            </w:r>
          </w:p>
        </w:tc>
        <w:tc>
          <w:tcPr>
            <w:tcW w:w="104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一级指标</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二级指标</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三级指标</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预期指标值(包含数字及文字描述)</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实际完成指标值(包含数字及文字描述)</w:t>
            </w:r>
          </w:p>
        </w:tc>
      </w:tr>
      <w:tr>
        <w:tblPrEx>
          <w:tblCellMar>
            <w:top w:w="0" w:type="dxa"/>
            <w:left w:w="0" w:type="dxa"/>
            <w:bottom w:w="0" w:type="dxa"/>
            <w:right w:w="0" w:type="dxa"/>
          </w:tblCellMar>
        </w:tblPrEx>
        <w:trPr>
          <w:trHeight w:val="1052"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104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项目完成 指标</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数量指标</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仿宋" w:cs="宋体"/>
                <w:color w:val="000000" w:themeColor="text1"/>
                <w:szCs w:val="21"/>
              </w:rPr>
            </w:pPr>
            <w:r>
              <w:rPr>
                <w:rFonts w:hint="eastAsia" w:ascii="新宋体" w:hAnsi="新宋体" w:eastAsia="新宋体" w:cs="新宋体"/>
                <w:color w:val="000000" w:themeColor="text1"/>
                <w:szCs w:val="21"/>
              </w:rPr>
              <w:t>库存档案信息电子  著录条数</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≥6万条</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≥6万条</w:t>
            </w:r>
          </w:p>
        </w:tc>
      </w:tr>
      <w:tr>
        <w:tblPrEx>
          <w:tblCellMar>
            <w:top w:w="0" w:type="dxa"/>
            <w:left w:w="0" w:type="dxa"/>
            <w:bottom w:w="0" w:type="dxa"/>
            <w:right w:w="0" w:type="dxa"/>
          </w:tblCellMar>
        </w:tblPrEx>
        <w:trPr>
          <w:trHeight w:val="1423"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104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项目完成 指标</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数量指标</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仿宋" w:cs="宋体"/>
                <w:color w:val="000000" w:themeColor="text1"/>
                <w:szCs w:val="21"/>
              </w:rPr>
            </w:pPr>
            <w:r>
              <w:rPr>
                <w:rFonts w:hint="eastAsia" w:ascii="新宋体" w:hAnsi="新宋体" w:eastAsia="新宋体" w:cs="新宋体"/>
                <w:color w:val="000000" w:themeColor="text1"/>
                <w:szCs w:val="21"/>
              </w:rPr>
              <w:t>接收地名普查档案及红旗丝厂公司档案卷数</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≥7000卷</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spacing w:line="560" w:lineRule="exact"/>
              <w:ind w:firstLine="600"/>
              <w:jc w:val="left"/>
              <w:rPr>
                <w:rFonts w:ascii="仿宋" w:hAnsi="仿宋" w:cs="仿宋"/>
                <w:color w:val="000000" w:themeColor="text1"/>
                <w:szCs w:val="21"/>
              </w:rPr>
            </w:pPr>
            <w:r>
              <w:rPr>
                <w:rFonts w:hint="eastAsia" w:ascii="宋体" w:hAnsi="宋体" w:cs="宋体"/>
                <w:color w:val="000000" w:themeColor="text1"/>
                <w:szCs w:val="21"/>
              </w:rPr>
              <w:t>≥</w:t>
            </w:r>
            <w:r>
              <w:rPr>
                <w:rFonts w:hint="eastAsia" w:ascii="仿宋" w:hAnsi="仿宋" w:eastAsia="仿宋" w:cs="仿宋"/>
                <w:color w:val="000000" w:themeColor="text1"/>
                <w:szCs w:val="21"/>
              </w:rPr>
              <w:t>7230卷</w:t>
            </w:r>
          </w:p>
          <w:p>
            <w:pPr>
              <w:widowControl/>
              <w:jc w:val="center"/>
              <w:textAlignment w:val="center"/>
              <w:rPr>
                <w:rFonts w:ascii="宋体" w:hAnsi="宋体" w:cs="宋体"/>
                <w:color w:val="000000" w:themeColor="text1"/>
                <w:szCs w:val="21"/>
              </w:rPr>
            </w:pPr>
          </w:p>
        </w:tc>
      </w:tr>
      <w:tr>
        <w:tblPrEx>
          <w:tblCellMar>
            <w:top w:w="0" w:type="dxa"/>
            <w:left w:w="0" w:type="dxa"/>
            <w:bottom w:w="0" w:type="dxa"/>
            <w:right w:w="0" w:type="dxa"/>
          </w:tblCellMar>
        </w:tblPrEx>
        <w:trPr>
          <w:trHeight w:val="114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104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项目完成 指标</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数量指标</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eastAsia="新宋体" w:cs="宋体"/>
                <w:color w:val="000000" w:themeColor="text1"/>
                <w:szCs w:val="21"/>
              </w:rPr>
            </w:pPr>
            <w:r>
              <w:rPr>
                <w:rFonts w:hint="eastAsia" w:ascii="新宋体" w:hAnsi="新宋体" w:eastAsia="新宋体" w:cs="新宋体"/>
                <w:color w:val="000000" w:themeColor="text1"/>
                <w:szCs w:val="21"/>
              </w:rPr>
              <w:t>为机关单位、干部群众提供档案查阅利用服务人次</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w:t>
            </w:r>
            <w:r>
              <w:rPr>
                <w:rFonts w:hint="eastAsia" w:ascii="仿宋" w:hAnsi="仿宋" w:eastAsia="仿宋" w:cs="仿宋"/>
                <w:color w:val="000000" w:themeColor="text1"/>
                <w:szCs w:val="21"/>
              </w:rPr>
              <w:t>2500人次</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w:t>
            </w:r>
            <w:r>
              <w:rPr>
                <w:rFonts w:hint="eastAsia" w:ascii="仿宋" w:hAnsi="仿宋" w:eastAsia="仿宋" w:cs="仿宋"/>
                <w:color w:val="000000" w:themeColor="text1"/>
                <w:szCs w:val="21"/>
              </w:rPr>
              <w:t>2169人次</w:t>
            </w:r>
          </w:p>
        </w:tc>
      </w:tr>
      <w:tr>
        <w:tblPrEx>
          <w:tblCellMar>
            <w:top w:w="0" w:type="dxa"/>
            <w:left w:w="0" w:type="dxa"/>
            <w:bottom w:w="0" w:type="dxa"/>
            <w:right w:w="0" w:type="dxa"/>
          </w:tblCellMar>
        </w:tblPrEx>
        <w:trPr>
          <w:trHeight w:val="1423"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104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效益指标</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社会效益</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新宋体" w:hAnsi="新宋体" w:eastAsia="新宋体" w:cs="新宋体"/>
                <w:color w:val="000000" w:themeColor="text1"/>
                <w:szCs w:val="21"/>
              </w:rPr>
              <w:t>化解社会矛盾次数</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w:t>
            </w:r>
            <w:r>
              <w:rPr>
                <w:rFonts w:hint="eastAsia" w:ascii="仿宋" w:hAnsi="仿宋" w:eastAsia="仿宋" w:cs="仿宋"/>
                <w:color w:val="000000" w:themeColor="text1"/>
                <w:szCs w:val="21"/>
              </w:rPr>
              <w:t>45</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w:t>
            </w:r>
            <w:r>
              <w:rPr>
                <w:rFonts w:hint="eastAsia" w:ascii="仿宋" w:hAnsi="仿宋" w:eastAsia="仿宋" w:cs="仿宋"/>
                <w:color w:val="000000" w:themeColor="text1"/>
                <w:szCs w:val="21"/>
              </w:rPr>
              <w:t>50</w:t>
            </w:r>
          </w:p>
        </w:tc>
      </w:tr>
      <w:tr>
        <w:tblPrEx>
          <w:tblCellMar>
            <w:top w:w="0" w:type="dxa"/>
            <w:left w:w="0" w:type="dxa"/>
            <w:bottom w:w="0" w:type="dxa"/>
            <w:right w:w="0" w:type="dxa"/>
          </w:tblCellMar>
        </w:tblPrEx>
        <w:trPr>
          <w:trHeight w:val="1167"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themeColor="text1"/>
                <w:szCs w:val="21"/>
              </w:rPr>
            </w:pPr>
          </w:p>
        </w:tc>
        <w:tc>
          <w:tcPr>
            <w:tcW w:w="104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满意度指标</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服务对象满意度指标</w:t>
            </w:r>
          </w:p>
        </w:tc>
        <w:tc>
          <w:tcPr>
            <w:tcW w:w="190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档案查阅利用      有效满意度</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80%</w:t>
            </w:r>
          </w:p>
        </w:tc>
        <w:tc>
          <w:tcPr>
            <w:tcW w:w="198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80%</w:t>
            </w:r>
          </w:p>
        </w:tc>
      </w:tr>
    </w:tbl>
    <w:p>
      <w:pPr>
        <w:rPr>
          <w:rFonts w:ascii="宋体" w:hAnsi="宋体" w:cs="宋体"/>
          <w:sz w:val="28"/>
          <w:szCs w:val="28"/>
        </w:rPr>
      </w:pPr>
    </w:p>
    <w:p>
      <w:pPr>
        <w:ind w:firstLine="560" w:firstLineChars="200"/>
        <w:rPr>
          <w:rFonts w:ascii="宋体" w:hAnsi="宋体" w:cs="宋体"/>
          <w:sz w:val="28"/>
          <w:szCs w:val="28"/>
        </w:rPr>
      </w:pPr>
      <w:r>
        <w:rPr>
          <w:rFonts w:hint="eastAsia" w:ascii="宋体" w:hAnsi="宋体" w:cs="宋体"/>
          <w:sz w:val="28"/>
          <w:szCs w:val="28"/>
        </w:rPr>
        <w:t>四、项目效益情况</w:t>
      </w:r>
    </w:p>
    <w:p>
      <w:pPr>
        <w:widowControl/>
        <w:spacing w:line="560" w:lineRule="exact"/>
        <w:ind w:firstLine="600"/>
        <w:jc w:val="left"/>
        <w:rPr>
          <w:rFonts w:ascii="新宋体" w:hAnsi="新宋体" w:eastAsia="新宋体"/>
          <w:color w:val="000000" w:themeColor="text1"/>
          <w:sz w:val="28"/>
          <w:szCs w:val="28"/>
        </w:rPr>
      </w:pPr>
      <w:r>
        <w:rPr>
          <w:rFonts w:hint="eastAsia" w:ascii="新宋体" w:hAnsi="新宋体" w:eastAsia="新宋体" w:cs="新宋体"/>
          <w:color w:val="000000" w:themeColor="text1"/>
          <w:sz w:val="28"/>
          <w:szCs w:val="28"/>
        </w:rPr>
        <w:t>通过项目实施，保障了库存档案的的安全和档案的查阅利用;通过文件级电子著录，提高了档案数字化管理水平，</w:t>
      </w:r>
      <w:r>
        <w:rPr>
          <w:rFonts w:hint="eastAsia" w:ascii="新宋体" w:hAnsi="新宋体" w:eastAsia="新宋体"/>
          <w:color w:val="000000" w:themeColor="text1"/>
          <w:sz w:val="28"/>
          <w:szCs w:val="28"/>
        </w:rPr>
        <w:t>完善档案资源体系建设。把死档案变成了活信息，为公众提供了优质服务，为维护社会稳定和发展做出了积极贡献。</w:t>
      </w:r>
    </w:p>
    <w:p>
      <w:pPr>
        <w:pStyle w:val="18"/>
        <w:numPr>
          <w:ilvl w:val="0"/>
          <w:numId w:val="1"/>
        </w:numPr>
        <w:spacing w:line="580" w:lineRule="exact"/>
        <w:ind w:firstLineChars="0"/>
        <w:rPr>
          <w:rFonts w:cs="仿宋_GB2312" w:asciiTheme="majorEastAsia" w:hAnsiTheme="majorEastAsia" w:eastAsiaTheme="majorEastAsia"/>
          <w:sz w:val="28"/>
          <w:szCs w:val="28"/>
        </w:rPr>
      </w:pPr>
      <w:r>
        <w:rPr>
          <w:rFonts w:cs="仿宋_GB2312" w:asciiTheme="majorEastAsia" w:hAnsiTheme="majorEastAsia" w:eastAsiaTheme="majorEastAsia"/>
          <w:sz w:val="28"/>
          <w:szCs w:val="28"/>
        </w:rPr>
        <w:t>存在主要问题</w:t>
      </w:r>
    </w:p>
    <w:p>
      <w:pPr>
        <w:spacing w:line="580" w:lineRule="exact"/>
        <w:ind w:firstLine="700" w:firstLineChars="250"/>
        <w:rPr>
          <w:rFonts w:ascii="仿宋" w:hAnsi="仿宋" w:eastAsia="仿宋" w:cs="仿宋_GB2312"/>
          <w:sz w:val="32"/>
          <w:szCs w:val="32"/>
        </w:rPr>
      </w:pPr>
      <w:r>
        <w:rPr>
          <w:rFonts w:hint="eastAsia" w:ascii="新宋体" w:hAnsi="新宋体" w:eastAsia="新宋体" w:cs="新宋体"/>
          <w:color w:val="000000" w:themeColor="text1"/>
          <w:sz w:val="28"/>
          <w:szCs w:val="28"/>
        </w:rPr>
        <w:t>我馆库房因历史原因分置两处，增大了档案安全风险，因此增加了库管安保人员和日常保管保护费;因经费不足，无法满足必需的温湿度保管水平，导致部份档案脱色、生霉;对接收进馆的破损档案也无法修复。</w:t>
      </w:r>
    </w:p>
    <w:p>
      <w:pPr>
        <w:spacing w:line="580" w:lineRule="exact"/>
        <w:ind w:firstLine="560" w:firstLineChars="200"/>
        <w:rPr>
          <w:rStyle w:val="20"/>
          <w:rFonts w:cs="仿宋_GB2312" w:asciiTheme="majorEastAsia" w:hAnsiTheme="majorEastAsia" w:eastAsiaTheme="majorEastAsia"/>
          <w:b w:val="0"/>
          <w:bCs w:val="0"/>
          <w:kern w:val="2"/>
          <w:sz w:val="28"/>
          <w:szCs w:val="28"/>
        </w:rPr>
      </w:pPr>
      <w:r>
        <w:rPr>
          <w:rFonts w:hint="eastAsia" w:cs="仿宋_GB2312" w:asciiTheme="majorEastAsia" w:hAnsiTheme="majorEastAsia" w:eastAsiaTheme="majorEastAsia"/>
          <w:sz w:val="28"/>
          <w:szCs w:val="28"/>
        </w:rPr>
        <w:t>五</w:t>
      </w:r>
      <w:r>
        <w:rPr>
          <w:rFonts w:cs="仿宋_GB2312" w:asciiTheme="majorEastAsia" w:hAnsiTheme="majorEastAsia" w:eastAsiaTheme="majorEastAsia"/>
          <w:sz w:val="28"/>
          <w:szCs w:val="28"/>
        </w:rPr>
        <w:t>、相关措施建议</w:t>
      </w:r>
    </w:p>
    <w:p>
      <w:pPr>
        <w:spacing w:line="580" w:lineRule="exact"/>
        <w:ind w:firstLine="560" w:firstLineChars="200"/>
        <w:rPr>
          <w:rFonts w:ascii="新宋体" w:hAnsi="新宋体" w:eastAsia="新宋体" w:cs="新宋体"/>
          <w:color w:val="000000" w:themeColor="text1"/>
          <w:sz w:val="28"/>
          <w:szCs w:val="28"/>
        </w:rPr>
      </w:pPr>
      <w:r>
        <w:rPr>
          <w:rFonts w:hint="eastAsia" w:ascii="新宋体" w:hAnsi="新宋体" w:eastAsia="新宋体" w:cs="新宋体"/>
          <w:color w:val="000000" w:themeColor="text1"/>
          <w:sz w:val="28"/>
          <w:szCs w:val="28"/>
        </w:rPr>
        <w:t>一是按预算数16万元足额拨付保运转；</w:t>
      </w:r>
    </w:p>
    <w:p>
      <w:pPr>
        <w:spacing w:line="580" w:lineRule="exact"/>
        <w:ind w:firstLine="560" w:firstLineChars="200"/>
        <w:rPr>
          <w:rFonts w:ascii="新宋体" w:hAnsi="新宋体" w:eastAsia="新宋体" w:cs="新宋体"/>
          <w:color w:val="000000" w:themeColor="text1"/>
          <w:kern w:val="0"/>
          <w:sz w:val="28"/>
          <w:szCs w:val="28"/>
        </w:rPr>
      </w:pPr>
      <w:r>
        <w:rPr>
          <w:rFonts w:hint="eastAsia" w:ascii="新宋体" w:hAnsi="新宋体" w:eastAsia="新宋体" w:cs="新宋体"/>
          <w:color w:val="000000" w:themeColor="text1"/>
          <w:sz w:val="28"/>
          <w:szCs w:val="28"/>
        </w:rPr>
        <w:t>二是尊照县委要求增加预算，</w:t>
      </w:r>
      <w:r>
        <w:rPr>
          <w:rFonts w:hint="eastAsia" w:ascii="新宋体" w:hAnsi="新宋体" w:eastAsia="新宋体" w:cs="新宋体"/>
          <w:color w:val="000000" w:themeColor="text1"/>
          <w:kern w:val="0"/>
          <w:sz w:val="28"/>
          <w:szCs w:val="28"/>
        </w:rPr>
        <w:t>按照不低于 2 元/卷的标准解决我馆档案保管保护经费，确保馆藏档案保管在安全环境中。</w:t>
      </w: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560" w:firstLineChars="200"/>
        <w:rPr>
          <w:rFonts w:ascii="新宋体" w:hAnsi="新宋体" w:eastAsia="新宋体" w:cs="新宋体"/>
          <w:color w:val="000000" w:themeColor="text1"/>
          <w:kern w:val="0"/>
          <w:sz w:val="28"/>
          <w:szCs w:val="28"/>
        </w:rPr>
      </w:pPr>
    </w:p>
    <w:p>
      <w:pPr>
        <w:spacing w:line="580" w:lineRule="exact"/>
        <w:ind w:firstLine="640" w:firstLineChars="200"/>
        <w:rPr>
          <w:rFonts w:ascii="仿宋_GB2312" w:hAnsi="仿宋_GB2312" w:eastAsia="仿宋_GB2312" w:cs="仿宋_GB2312"/>
          <w:color w:val="000000" w:themeColor="text1"/>
          <w:sz w:val="28"/>
          <w:szCs w:val="28"/>
        </w:rPr>
      </w:pPr>
      <w:r>
        <w:rPr>
          <w:rFonts w:ascii="FZFSJW--GB1-0" w:hAnsi="FZFSJW--GB1-0" w:eastAsia="FZFSJW--GB1-0" w:cs="FZFSJW--GB1-0"/>
          <w:color w:val="000000" w:themeColor="text1"/>
          <w:kern w:val="0"/>
          <w:sz w:val="32"/>
          <w:szCs w:val="32"/>
        </w:rPr>
        <w:t xml:space="preserve"> </w:t>
      </w:r>
    </w:p>
    <w:p>
      <w:pPr>
        <w:spacing w:line="600" w:lineRule="exact"/>
        <w:jc w:val="center"/>
        <w:outlineLvl w:val="0"/>
        <w:rPr>
          <w:rStyle w:val="20"/>
          <w:rFonts w:ascii="黑体" w:hAnsi="黑体" w:eastAsia="黑体"/>
          <w:sz w:val="30"/>
          <w:szCs w:val="30"/>
        </w:rPr>
      </w:pPr>
      <w:bookmarkStart w:id="47" w:name="_Toc15396618"/>
      <w:r>
        <w:rPr>
          <w:rFonts w:hint="eastAsia" w:ascii="黑体" w:hAnsi="黑体" w:eastAsia="黑体"/>
          <w:b/>
          <w:bCs/>
          <w:color w:val="000000"/>
          <w:sz w:val="30"/>
          <w:szCs w:val="30"/>
        </w:rPr>
        <w:t>第</w:t>
      </w:r>
      <w:r>
        <w:rPr>
          <w:rStyle w:val="20"/>
          <w:rFonts w:hint="eastAsia" w:ascii="黑体" w:hAnsi="黑体" w:eastAsia="黑体"/>
          <w:sz w:val="30"/>
          <w:szCs w:val="30"/>
        </w:rPr>
        <w:t>五部分 附表</w:t>
      </w:r>
      <w:bookmarkEnd w:id="44"/>
      <w:bookmarkEnd w:id="47"/>
    </w:p>
    <w:p>
      <w:pPr>
        <w:pStyle w:val="3"/>
        <w:rPr>
          <w:rFonts w:ascii="仿宋" w:hAnsi="仿宋" w:eastAsia="仿宋"/>
          <w:color w:val="000000"/>
          <w:sz w:val="30"/>
          <w:szCs w:val="30"/>
        </w:rPr>
      </w:pPr>
      <w:bookmarkStart w:id="48" w:name="_Toc15396619"/>
      <w:r>
        <w:rPr>
          <w:rFonts w:hint="eastAsia" w:ascii="仿宋" w:hAnsi="仿宋" w:eastAsia="仿宋"/>
          <w:b w:val="0"/>
          <w:color w:val="000000"/>
          <w:sz w:val="30"/>
          <w:szCs w:val="30"/>
        </w:rPr>
        <w:t>一、收</w:t>
      </w:r>
      <w:r>
        <w:rPr>
          <w:rStyle w:val="21"/>
          <w:rFonts w:hint="eastAsia" w:ascii="仿宋" w:hAnsi="仿宋" w:eastAsia="仿宋"/>
          <w:b w:val="0"/>
          <w:bCs w:val="0"/>
          <w:sz w:val="30"/>
          <w:szCs w:val="30"/>
        </w:rPr>
        <w:t>入支出决算总表</w:t>
      </w:r>
      <w:bookmarkEnd w:id="48"/>
    </w:p>
    <w:p>
      <w:pPr>
        <w:pStyle w:val="3"/>
        <w:rPr>
          <w:rFonts w:ascii="仿宋" w:hAnsi="仿宋" w:eastAsia="仿宋"/>
          <w:color w:val="000000"/>
          <w:sz w:val="30"/>
          <w:szCs w:val="30"/>
        </w:rPr>
      </w:pPr>
      <w:bookmarkStart w:id="49" w:name="_Toc15396620"/>
      <w:r>
        <w:rPr>
          <w:rFonts w:hint="eastAsia" w:ascii="仿宋" w:hAnsi="仿宋" w:eastAsia="仿宋"/>
          <w:b w:val="0"/>
          <w:color w:val="000000"/>
          <w:sz w:val="30"/>
          <w:szCs w:val="30"/>
        </w:rPr>
        <w:t>二、收</w:t>
      </w:r>
      <w:r>
        <w:rPr>
          <w:rStyle w:val="21"/>
          <w:rFonts w:hint="eastAsia" w:ascii="仿宋" w:hAnsi="仿宋" w:eastAsia="仿宋"/>
          <w:b w:val="0"/>
          <w:bCs w:val="0"/>
          <w:sz w:val="30"/>
          <w:szCs w:val="30"/>
        </w:rPr>
        <w:t>入总表</w:t>
      </w:r>
      <w:bookmarkEnd w:id="49"/>
    </w:p>
    <w:p>
      <w:pPr>
        <w:pStyle w:val="3"/>
        <w:rPr>
          <w:rFonts w:ascii="仿宋" w:hAnsi="仿宋" w:eastAsia="仿宋"/>
          <w:color w:val="000000"/>
          <w:sz w:val="30"/>
          <w:szCs w:val="30"/>
        </w:rPr>
      </w:pPr>
      <w:bookmarkStart w:id="50" w:name="_Toc15396621"/>
      <w:r>
        <w:rPr>
          <w:rStyle w:val="21"/>
          <w:rFonts w:hint="eastAsia" w:ascii="仿宋" w:hAnsi="仿宋" w:eastAsia="仿宋"/>
          <w:b w:val="0"/>
          <w:bCs w:val="0"/>
          <w:sz w:val="30"/>
          <w:szCs w:val="30"/>
        </w:rPr>
        <w:t>三、</w:t>
      </w:r>
      <w:r>
        <w:rPr>
          <w:rFonts w:hint="eastAsia" w:ascii="仿宋" w:hAnsi="仿宋" w:eastAsia="仿宋"/>
          <w:b w:val="0"/>
          <w:color w:val="000000"/>
          <w:sz w:val="30"/>
          <w:szCs w:val="30"/>
        </w:rPr>
        <w:t>支</w:t>
      </w:r>
      <w:r>
        <w:rPr>
          <w:rStyle w:val="21"/>
          <w:rFonts w:hint="eastAsia" w:ascii="仿宋" w:hAnsi="仿宋" w:eastAsia="仿宋"/>
          <w:b w:val="0"/>
          <w:bCs w:val="0"/>
          <w:sz w:val="30"/>
          <w:szCs w:val="30"/>
        </w:rPr>
        <w:t>出总表</w:t>
      </w:r>
      <w:bookmarkEnd w:id="50"/>
    </w:p>
    <w:p>
      <w:pPr>
        <w:pStyle w:val="3"/>
        <w:rPr>
          <w:rFonts w:ascii="仿宋" w:hAnsi="仿宋" w:eastAsia="仿宋"/>
          <w:b w:val="0"/>
          <w:color w:val="000000"/>
          <w:sz w:val="30"/>
          <w:szCs w:val="30"/>
        </w:rPr>
      </w:pPr>
      <w:bookmarkStart w:id="51" w:name="_Toc15396622"/>
      <w:r>
        <w:rPr>
          <w:rStyle w:val="21"/>
          <w:rFonts w:hint="eastAsia" w:ascii="仿宋" w:hAnsi="仿宋" w:eastAsia="仿宋"/>
          <w:b w:val="0"/>
          <w:bCs w:val="0"/>
          <w:sz w:val="30"/>
          <w:szCs w:val="30"/>
        </w:rPr>
        <w:t>四、</w:t>
      </w:r>
      <w:r>
        <w:rPr>
          <w:rFonts w:hint="eastAsia" w:ascii="仿宋" w:hAnsi="仿宋" w:eastAsia="仿宋"/>
          <w:b w:val="0"/>
          <w:color w:val="000000"/>
          <w:sz w:val="30"/>
          <w:szCs w:val="30"/>
        </w:rPr>
        <w:t>财</w:t>
      </w:r>
      <w:r>
        <w:rPr>
          <w:rStyle w:val="21"/>
          <w:rFonts w:hint="eastAsia" w:ascii="仿宋" w:hAnsi="仿宋" w:eastAsia="仿宋"/>
          <w:b w:val="0"/>
          <w:bCs w:val="0"/>
          <w:sz w:val="30"/>
          <w:szCs w:val="30"/>
        </w:rPr>
        <w:t>政拨款收入支出决算总表</w:t>
      </w:r>
      <w:bookmarkEnd w:id="51"/>
    </w:p>
    <w:p>
      <w:pPr>
        <w:pStyle w:val="3"/>
        <w:rPr>
          <w:rFonts w:ascii="仿宋" w:hAnsi="仿宋" w:eastAsia="仿宋"/>
          <w:color w:val="000000"/>
          <w:sz w:val="30"/>
          <w:szCs w:val="30"/>
        </w:rPr>
      </w:pPr>
      <w:bookmarkStart w:id="52" w:name="_Toc15396623"/>
      <w:r>
        <w:rPr>
          <w:rStyle w:val="21"/>
          <w:rFonts w:hint="eastAsia" w:ascii="仿宋" w:hAnsi="仿宋" w:eastAsia="仿宋"/>
          <w:b w:val="0"/>
          <w:bCs w:val="0"/>
          <w:sz w:val="30"/>
          <w:szCs w:val="30"/>
        </w:rPr>
        <w:t>五、</w:t>
      </w:r>
      <w:r>
        <w:rPr>
          <w:rFonts w:hint="eastAsia" w:ascii="仿宋" w:hAnsi="仿宋" w:eastAsia="仿宋"/>
          <w:b w:val="0"/>
          <w:color w:val="000000"/>
          <w:sz w:val="30"/>
          <w:szCs w:val="30"/>
        </w:rPr>
        <w:t>财</w:t>
      </w:r>
      <w:r>
        <w:rPr>
          <w:rStyle w:val="21"/>
          <w:rFonts w:hint="eastAsia" w:ascii="仿宋" w:hAnsi="仿宋" w:eastAsia="仿宋"/>
          <w:b w:val="0"/>
          <w:bCs w:val="0"/>
          <w:sz w:val="30"/>
          <w:szCs w:val="30"/>
        </w:rPr>
        <w:t>政拨款支出决算明细表（政府经济分类科目）</w:t>
      </w:r>
      <w:bookmarkEnd w:id="52"/>
    </w:p>
    <w:p>
      <w:pPr>
        <w:pStyle w:val="3"/>
        <w:rPr>
          <w:rFonts w:ascii="仿宋" w:hAnsi="仿宋" w:eastAsia="仿宋"/>
          <w:color w:val="000000"/>
          <w:sz w:val="30"/>
          <w:szCs w:val="30"/>
        </w:rPr>
      </w:pPr>
      <w:bookmarkStart w:id="53" w:name="_Toc15396624"/>
      <w:r>
        <w:rPr>
          <w:rStyle w:val="21"/>
          <w:rFonts w:hint="eastAsia" w:ascii="仿宋" w:hAnsi="仿宋" w:eastAsia="仿宋"/>
          <w:b w:val="0"/>
          <w:bCs w:val="0"/>
          <w:sz w:val="30"/>
          <w:szCs w:val="30"/>
        </w:rPr>
        <w:t>六、</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般公共预算财政拨款支出决算表</w:t>
      </w:r>
      <w:bookmarkEnd w:id="53"/>
    </w:p>
    <w:p>
      <w:pPr>
        <w:pStyle w:val="3"/>
        <w:rPr>
          <w:rFonts w:ascii="仿宋" w:hAnsi="仿宋" w:eastAsia="仿宋"/>
          <w:color w:val="000000"/>
          <w:sz w:val="30"/>
          <w:szCs w:val="30"/>
        </w:rPr>
      </w:pPr>
      <w:bookmarkStart w:id="54" w:name="_Toc15396625"/>
      <w:r>
        <w:rPr>
          <w:rStyle w:val="21"/>
          <w:rFonts w:hint="eastAsia" w:ascii="仿宋" w:hAnsi="仿宋" w:eastAsia="仿宋"/>
          <w:b w:val="0"/>
          <w:bCs w:val="0"/>
          <w:sz w:val="30"/>
          <w:szCs w:val="30"/>
        </w:rPr>
        <w:t>七、</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般公共预算财政拨款支出决算明细表</w:t>
      </w:r>
      <w:bookmarkEnd w:id="54"/>
    </w:p>
    <w:p>
      <w:pPr>
        <w:pStyle w:val="3"/>
        <w:rPr>
          <w:rFonts w:ascii="仿宋" w:hAnsi="仿宋" w:eastAsia="仿宋"/>
          <w:color w:val="000000"/>
          <w:sz w:val="30"/>
          <w:szCs w:val="30"/>
        </w:rPr>
      </w:pPr>
      <w:bookmarkStart w:id="55" w:name="_Toc15396626"/>
      <w:r>
        <w:rPr>
          <w:rStyle w:val="21"/>
          <w:rFonts w:hint="eastAsia" w:ascii="仿宋" w:hAnsi="仿宋" w:eastAsia="仿宋"/>
          <w:b w:val="0"/>
          <w:bCs w:val="0"/>
          <w:sz w:val="30"/>
          <w:szCs w:val="30"/>
        </w:rPr>
        <w:t>八、</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般公共预算财政拨款基本支出决算表</w:t>
      </w:r>
      <w:bookmarkEnd w:id="55"/>
    </w:p>
    <w:p>
      <w:pPr>
        <w:pStyle w:val="3"/>
        <w:rPr>
          <w:rFonts w:ascii="仿宋" w:hAnsi="仿宋" w:eastAsia="仿宋"/>
          <w:color w:val="000000"/>
          <w:sz w:val="30"/>
          <w:szCs w:val="30"/>
        </w:rPr>
      </w:pPr>
      <w:bookmarkStart w:id="56" w:name="_Toc15396627"/>
      <w:r>
        <w:rPr>
          <w:rStyle w:val="21"/>
          <w:rFonts w:hint="eastAsia" w:ascii="仿宋" w:hAnsi="仿宋" w:eastAsia="仿宋"/>
          <w:b w:val="0"/>
          <w:bCs w:val="0"/>
          <w:sz w:val="30"/>
          <w:szCs w:val="30"/>
        </w:rPr>
        <w:t>九、</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般公共预算财政拨款项目支出决算表</w:t>
      </w:r>
      <w:bookmarkEnd w:id="56"/>
    </w:p>
    <w:p>
      <w:pPr>
        <w:pStyle w:val="3"/>
        <w:rPr>
          <w:rFonts w:ascii="仿宋" w:hAnsi="仿宋" w:eastAsia="仿宋"/>
          <w:color w:val="000000"/>
          <w:sz w:val="30"/>
          <w:szCs w:val="30"/>
        </w:rPr>
      </w:pPr>
      <w:bookmarkStart w:id="57" w:name="_Toc15396628"/>
      <w:r>
        <w:rPr>
          <w:rStyle w:val="21"/>
          <w:rFonts w:hint="eastAsia" w:ascii="仿宋" w:hAnsi="仿宋" w:eastAsia="仿宋"/>
          <w:b w:val="0"/>
          <w:bCs w:val="0"/>
          <w:sz w:val="30"/>
          <w:szCs w:val="30"/>
        </w:rPr>
        <w:t>十、</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般公共预算财政拨款“三公”经费支出决算表</w:t>
      </w:r>
      <w:bookmarkEnd w:id="57"/>
    </w:p>
    <w:p>
      <w:pPr>
        <w:pStyle w:val="3"/>
        <w:rPr>
          <w:rFonts w:ascii="仿宋" w:hAnsi="仿宋" w:eastAsia="仿宋"/>
          <w:color w:val="000000"/>
          <w:sz w:val="30"/>
          <w:szCs w:val="30"/>
        </w:rPr>
      </w:pPr>
      <w:bookmarkStart w:id="58" w:name="_Toc15396629"/>
      <w:r>
        <w:rPr>
          <w:rStyle w:val="21"/>
          <w:rFonts w:hint="eastAsia" w:ascii="仿宋" w:hAnsi="仿宋" w:eastAsia="仿宋"/>
          <w:b w:val="0"/>
          <w:bCs w:val="0"/>
          <w:sz w:val="30"/>
          <w:szCs w:val="30"/>
        </w:rPr>
        <w:t>十一、</w:t>
      </w:r>
      <w:r>
        <w:rPr>
          <w:rFonts w:hint="eastAsia" w:ascii="仿宋" w:hAnsi="仿宋" w:eastAsia="仿宋"/>
          <w:b w:val="0"/>
          <w:color w:val="000000"/>
          <w:sz w:val="30"/>
          <w:szCs w:val="30"/>
        </w:rPr>
        <w:t>政</w:t>
      </w:r>
      <w:r>
        <w:rPr>
          <w:rStyle w:val="21"/>
          <w:rFonts w:hint="eastAsia" w:ascii="仿宋" w:hAnsi="仿宋" w:eastAsia="仿宋"/>
          <w:b w:val="0"/>
          <w:bCs w:val="0"/>
          <w:sz w:val="30"/>
          <w:szCs w:val="30"/>
        </w:rPr>
        <w:t>府性基金预算财政拨款收入支出决算表</w:t>
      </w:r>
      <w:bookmarkEnd w:id="58"/>
    </w:p>
    <w:p>
      <w:pPr>
        <w:pStyle w:val="3"/>
        <w:rPr>
          <w:rFonts w:ascii="仿宋" w:hAnsi="仿宋" w:eastAsia="仿宋"/>
          <w:color w:val="000000"/>
          <w:sz w:val="30"/>
          <w:szCs w:val="30"/>
        </w:rPr>
      </w:pPr>
      <w:bookmarkStart w:id="59" w:name="_Toc15396630"/>
      <w:r>
        <w:rPr>
          <w:rStyle w:val="21"/>
          <w:rFonts w:hint="eastAsia" w:ascii="仿宋" w:hAnsi="仿宋" w:eastAsia="仿宋"/>
          <w:b w:val="0"/>
          <w:bCs w:val="0"/>
          <w:sz w:val="30"/>
          <w:szCs w:val="30"/>
        </w:rPr>
        <w:t>十二、</w:t>
      </w:r>
      <w:r>
        <w:rPr>
          <w:rFonts w:hint="eastAsia" w:ascii="仿宋" w:hAnsi="仿宋" w:eastAsia="仿宋"/>
          <w:b w:val="0"/>
          <w:color w:val="000000"/>
          <w:sz w:val="30"/>
          <w:szCs w:val="30"/>
        </w:rPr>
        <w:t>政</w:t>
      </w:r>
      <w:r>
        <w:rPr>
          <w:rStyle w:val="21"/>
          <w:rFonts w:hint="eastAsia" w:ascii="仿宋" w:hAnsi="仿宋" w:eastAsia="仿宋"/>
          <w:b w:val="0"/>
          <w:bCs w:val="0"/>
          <w:sz w:val="30"/>
          <w:szCs w:val="30"/>
        </w:rPr>
        <w:t>府性基金预算财政拨款“三公”经费支出决算表</w:t>
      </w:r>
      <w:bookmarkEnd w:id="59"/>
    </w:p>
    <w:p>
      <w:pPr>
        <w:pStyle w:val="3"/>
        <w:rPr>
          <w:rFonts w:ascii="仿宋" w:hAnsi="仿宋" w:eastAsia="仿宋"/>
          <w:color w:val="000000" w:themeColor="text1"/>
          <w:sz w:val="30"/>
          <w:szCs w:val="30"/>
        </w:rPr>
      </w:pPr>
      <w:bookmarkStart w:id="60" w:name="_Toc15396631"/>
      <w:r>
        <w:rPr>
          <w:rStyle w:val="21"/>
          <w:rFonts w:hint="eastAsia" w:ascii="仿宋" w:hAnsi="仿宋" w:eastAsia="仿宋"/>
          <w:b w:val="0"/>
          <w:bCs w:val="0"/>
          <w:sz w:val="30"/>
          <w:szCs w:val="30"/>
        </w:rPr>
        <w:t>十三、</w:t>
      </w:r>
      <w:r>
        <w:rPr>
          <w:rFonts w:hint="eastAsia" w:ascii="仿宋" w:hAnsi="仿宋" w:eastAsia="仿宋"/>
          <w:b w:val="0"/>
          <w:color w:val="000000"/>
          <w:sz w:val="30"/>
          <w:szCs w:val="30"/>
        </w:rPr>
        <w:t>国</w:t>
      </w:r>
      <w:r>
        <w:rPr>
          <w:rStyle w:val="21"/>
          <w:rFonts w:hint="eastAsia" w:ascii="仿宋" w:hAnsi="仿宋" w:eastAsia="仿宋"/>
          <w:b w:val="0"/>
          <w:bCs w:val="0"/>
          <w:sz w:val="30"/>
          <w:szCs w:val="30"/>
        </w:rPr>
        <w:t>有资本经营预算支出决算表</w:t>
      </w:r>
      <w:bookmarkEnd w:id="60"/>
    </w:p>
    <w:p>
      <w:pPr>
        <w:rPr>
          <w:b/>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FZFS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759159"/>
    </w:sdtPr>
    <w:sdtContent>
      <w:sdt>
        <w:sdtPr>
          <w:id w:val="98381352"/>
        </w:sdtPr>
        <w:sdtContent>
          <w:p>
            <w:pPr>
              <w:pStyle w:val="6"/>
              <w:ind w:firstLine="3510" w:firstLineChars="1950"/>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29</w:t>
            </w:r>
            <w:r>
              <w:rPr>
                <w:b/>
                <w:sz w:val="24"/>
                <w:szCs w:val="24"/>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FA047D"/>
    <w:multiLevelType w:val="singleLevel"/>
    <w:tmpl w:val="E2FA047D"/>
    <w:lvl w:ilvl="0" w:tentative="0">
      <w:start w:val="3"/>
      <w:numFmt w:val="chineseCounting"/>
      <w:suff w:val="space"/>
      <w:lvlText w:val="第%1部分"/>
      <w:lvlJc w:val="left"/>
      <w:rPr>
        <w:rFonts w:hint="eastAsia"/>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17ED"/>
    <w:rsid w:val="00001501"/>
    <w:rsid w:val="00004D8E"/>
    <w:rsid w:val="00020B02"/>
    <w:rsid w:val="0002400B"/>
    <w:rsid w:val="000272F7"/>
    <w:rsid w:val="00057A59"/>
    <w:rsid w:val="000601C9"/>
    <w:rsid w:val="00065331"/>
    <w:rsid w:val="00077DFC"/>
    <w:rsid w:val="00091085"/>
    <w:rsid w:val="000A349E"/>
    <w:rsid w:val="000B62FD"/>
    <w:rsid w:val="000C32E7"/>
    <w:rsid w:val="000C4C10"/>
    <w:rsid w:val="000F181A"/>
    <w:rsid w:val="001001A5"/>
    <w:rsid w:val="00103F18"/>
    <w:rsid w:val="001337A2"/>
    <w:rsid w:val="00157994"/>
    <w:rsid w:val="001D0511"/>
    <w:rsid w:val="001D1DB1"/>
    <w:rsid w:val="00200798"/>
    <w:rsid w:val="0020540D"/>
    <w:rsid w:val="002157A0"/>
    <w:rsid w:val="00216713"/>
    <w:rsid w:val="002674EF"/>
    <w:rsid w:val="002B3A2A"/>
    <w:rsid w:val="002B7DE6"/>
    <w:rsid w:val="002C0AEA"/>
    <w:rsid w:val="002C239D"/>
    <w:rsid w:val="002E60B1"/>
    <w:rsid w:val="002E6FD9"/>
    <w:rsid w:val="002F31B1"/>
    <w:rsid w:val="002F3EB8"/>
    <w:rsid w:val="002F53EC"/>
    <w:rsid w:val="002F6662"/>
    <w:rsid w:val="00316BAD"/>
    <w:rsid w:val="00343860"/>
    <w:rsid w:val="003506B6"/>
    <w:rsid w:val="00356CD4"/>
    <w:rsid w:val="00395C1E"/>
    <w:rsid w:val="0039693A"/>
    <w:rsid w:val="00421557"/>
    <w:rsid w:val="00425835"/>
    <w:rsid w:val="004421FC"/>
    <w:rsid w:val="00481CF4"/>
    <w:rsid w:val="00481EF5"/>
    <w:rsid w:val="0049002C"/>
    <w:rsid w:val="00495523"/>
    <w:rsid w:val="00495E85"/>
    <w:rsid w:val="004970A7"/>
    <w:rsid w:val="004A1CDA"/>
    <w:rsid w:val="004A4F8A"/>
    <w:rsid w:val="00533465"/>
    <w:rsid w:val="00533DE7"/>
    <w:rsid w:val="00536208"/>
    <w:rsid w:val="005602A2"/>
    <w:rsid w:val="005919AA"/>
    <w:rsid w:val="005A1418"/>
    <w:rsid w:val="005C3194"/>
    <w:rsid w:val="005D5F60"/>
    <w:rsid w:val="00602787"/>
    <w:rsid w:val="00675753"/>
    <w:rsid w:val="00681A75"/>
    <w:rsid w:val="006875BA"/>
    <w:rsid w:val="00693EB9"/>
    <w:rsid w:val="0069538E"/>
    <w:rsid w:val="006B736B"/>
    <w:rsid w:val="006F46E8"/>
    <w:rsid w:val="006F6CA8"/>
    <w:rsid w:val="00753D50"/>
    <w:rsid w:val="007750A2"/>
    <w:rsid w:val="00781E3F"/>
    <w:rsid w:val="00790197"/>
    <w:rsid w:val="007C20EE"/>
    <w:rsid w:val="007C40F0"/>
    <w:rsid w:val="007C41C4"/>
    <w:rsid w:val="007C67DD"/>
    <w:rsid w:val="007F26A1"/>
    <w:rsid w:val="00806373"/>
    <w:rsid w:val="008066E0"/>
    <w:rsid w:val="00851151"/>
    <w:rsid w:val="00855B33"/>
    <w:rsid w:val="00860260"/>
    <w:rsid w:val="0087638B"/>
    <w:rsid w:val="008B75E7"/>
    <w:rsid w:val="008E0D37"/>
    <w:rsid w:val="008E3F1C"/>
    <w:rsid w:val="008F0488"/>
    <w:rsid w:val="008F449D"/>
    <w:rsid w:val="00910206"/>
    <w:rsid w:val="00922C3A"/>
    <w:rsid w:val="00942FCA"/>
    <w:rsid w:val="0094432A"/>
    <w:rsid w:val="00952F8F"/>
    <w:rsid w:val="00957F67"/>
    <w:rsid w:val="00980CC4"/>
    <w:rsid w:val="009A1E7A"/>
    <w:rsid w:val="009C0A8E"/>
    <w:rsid w:val="009D31B7"/>
    <w:rsid w:val="009E661A"/>
    <w:rsid w:val="00A00409"/>
    <w:rsid w:val="00A04D6E"/>
    <w:rsid w:val="00A14D4C"/>
    <w:rsid w:val="00A30287"/>
    <w:rsid w:val="00A32AE1"/>
    <w:rsid w:val="00A74919"/>
    <w:rsid w:val="00A808F1"/>
    <w:rsid w:val="00AB2CDE"/>
    <w:rsid w:val="00AD6444"/>
    <w:rsid w:val="00AF5FFB"/>
    <w:rsid w:val="00AF7CD4"/>
    <w:rsid w:val="00B20939"/>
    <w:rsid w:val="00B37EF1"/>
    <w:rsid w:val="00B40976"/>
    <w:rsid w:val="00B62AE1"/>
    <w:rsid w:val="00B8658A"/>
    <w:rsid w:val="00BD5A3B"/>
    <w:rsid w:val="00BD7E22"/>
    <w:rsid w:val="00BF0A09"/>
    <w:rsid w:val="00BF1DCF"/>
    <w:rsid w:val="00C108F1"/>
    <w:rsid w:val="00C1748C"/>
    <w:rsid w:val="00C26042"/>
    <w:rsid w:val="00C4655A"/>
    <w:rsid w:val="00C63765"/>
    <w:rsid w:val="00C67897"/>
    <w:rsid w:val="00C67B8C"/>
    <w:rsid w:val="00CB0B24"/>
    <w:rsid w:val="00CD76AE"/>
    <w:rsid w:val="00CE7DB5"/>
    <w:rsid w:val="00CF797C"/>
    <w:rsid w:val="00D20E10"/>
    <w:rsid w:val="00D27A78"/>
    <w:rsid w:val="00D30302"/>
    <w:rsid w:val="00D60076"/>
    <w:rsid w:val="00D6052C"/>
    <w:rsid w:val="00D70749"/>
    <w:rsid w:val="00D86156"/>
    <w:rsid w:val="00D95609"/>
    <w:rsid w:val="00D9574F"/>
    <w:rsid w:val="00DA699F"/>
    <w:rsid w:val="00DD3067"/>
    <w:rsid w:val="00E04B42"/>
    <w:rsid w:val="00E05D09"/>
    <w:rsid w:val="00E20C5B"/>
    <w:rsid w:val="00E25F51"/>
    <w:rsid w:val="00E4279E"/>
    <w:rsid w:val="00E57353"/>
    <w:rsid w:val="00E63AE3"/>
    <w:rsid w:val="00E7517D"/>
    <w:rsid w:val="00E935F0"/>
    <w:rsid w:val="00EC03AB"/>
    <w:rsid w:val="00ED62FE"/>
    <w:rsid w:val="00EE2CED"/>
    <w:rsid w:val="00F117ED"/>
    <w:rsid w:val="00F314FD"/>
    <w:rsid w:val="00F316B0"/>
    <w:rsid w:val="00F45FD2"/>
    <w:rsid w:val="00F52EAA"/>
    <w:rsid w:val="00F74922"/>
    <w:rsid w:val="00F9046C"/>
    <w:rsid w:val="00FD158B"/>
    <w:rsid w:val="00FD4BEB"/>
    <w:rsid w:val="00FF3D7E"/>
    <w:rsid w:val="010B3A16"/>
    <w:rsid w:val="0110769E"/>
    <w:rsid w:val="013548A2"/>
    <w:rsid w:val="01840892"/>
    <w:rsid w:val="01C65E73"/>
    <w:rsid w:val="01FD4585"/>
    <w:rsid w:val="02FB2CA2"/>
    <w:rsid w:val="031D7347"/>
    <w:rsid w:val="038B5088"/>
    <w:rsid w:val="06FE0E84"/>
    <w:rsid w:val="07883116"/>
    <w:rsid w:val="08CA195B"/>
    <w:rsid w:val="08E651E8"/>
    <w:rsid w:val="09B76C25"/>
    <w:rsid w:val="0A1171FB"/>
    <w:rsid w:val="0A9F37A2"/>
    <w:rsid w:val="0B2814A7"/>
    <w:rsid w:val="0BA8681C"/>
    <w:rsid w:val="0C2E4782"/>
    <w:rsid w:val="0D333ED5"/>
    <w:rsid w:val="0DA87906"/>
    <w:rsid w:val="0DFD1AA3"/>
    <w:rsid w:val="0E910EAD"/>
    <w:rsid w:val="0F031A2E"/>
    <w:rsid w:val="0F453AB3"/>
    <w:rsid w:val="0F7D118B"/>
    <w:rsid w:val="0F895F71"/>
    <w:rsid w:val="0FA0340F"/>
    <w:rsid w:val="111B29A0"/>
    <w:rsid w:val="11B22F25"/>
    <w:rsid w:val="123813B5"/>
    <w:rsid w:val="141717B1"/>
    <w:rsid w:val="145B078D"/>
    <w:rsid w:val="1503336A"/>
    <w:rsid w:val="160A0855"/>
    <w:rsid w:val="16337E86"/>
    <w:rsid w:val="16392762"/>
    <w:rsid w:val="16497D98"/>
    <w:rsid w:val="165F5CA7"/>
    <w:rsid w:val="17370E73"/>
    <w:rsid w:val="175550D5"/>
    <w:rsid w:val="19307B6E"/>
    <w:rsid w:val="19483133"/>
    <w:rsid w:val="1A8702A5"/>
    <w:rsid w:val="1ABA7133"/>
    <w:rsid w:val="1BAF7E85"/>
    <w:rsid w:val="1C9643FA"/>
    <w:rsid w:val="1CD83EF9"/>
    <w:rsid w:val="1DFC71C2"/>
    <w:rsid w:val="1EC25DB3"/>
    <w:rsid w:val="227A5C40"/>
    <w:rsid w:val="22FD1303"/>
    <w:rsid w:val="239A1414"/>
    <w:rsid w:val="23F4655B"/>
    <w:rsid w:val="23FA108A"/>
    <w:rsid w:val="241A59B7"/>
    <w:rsid w:val="243215E3"/>
    <w:rsid w:val="259B58FA"/>
    <w:rsid w:val="259F52D4"/>
    <w:rsid w:val="25B85F44"/>
    <w:rsid w:val="265D00AF"/>
    <w:rsid w:val="26705594"/>
    <w:rsid w:val="26BB0081"/>
    <w:rsid w:val="27BD1D13"/>
    <w:rsid w:val="28A37B06"/>
    <w:rsid w:val="28B27B71"/>
    <w:rsid w:val="28DC7231"/>
    <w:rsid w:val="290B145D"/>
    <w:rsid w:val="29194AC6"/>
    <w:rsid w:val="29FA5A40"/>
    <w:rsid w:val="2A0F6046"/>
    <w:rsid w:val="2A691302"/>
    <w:rsid w:val="2B3B6EBE"/>
    <w:rsid w:val="2B9F0CCD"/>
    <w:rsid w:val="2EAD5DA2"/>
    <w:rsid w:val="2EE57E46"/>
    <w:rsid w:val="2EFC1EB1"/>
    <w:rsid w:val="30C530CE"/>
    <w:rsid w:val="31052036"/>
    <w:rsid w:val="31F6493C"/>
    <w:rsid w:val="32491787"/>
    <w:rsid w:val="32643C55"/>
    <w:rsid w:val="335626FE"/>
    <w:rsid w:val="342B73B9"/>
    <w:rsid w:val="34590E9F"/>
    <w:rsid w:val="352306C2"/>
    <w:rsid w:val="359830FD"/>
    <w:rsid w:val="3607736D"/>
    <w:rsid w:val="36E21B80"/>
    <w:rsid w:val="37384FA6"/>
    <w:rsid w:val="374C214B"/>
    <w:rsid w:val="3A7A64FA"/>
    <w:rsid w:val="3AA87EE2"/>
    <w:rsid w:val="3B173EE5"/>
    <w:rsid w:val="3C0847C6"/>
    <w:rsid w:val="3CBF08EB"/>
    <w:rsid w:val="3D37680D"/>
    <w:rsid w:val="3D631E37"/>
    <w:rsid w:val="3DD23CC6"/>
    <w:rsid w:val="3E5D0AAF"/>
    <w:rsid w:val="3FFC4934"/>
    <w:rsid w:val="415E640F"/>
    <w:rsid w:val="42CA6D71"/>
    <w:rsid w:val="439C41A9"/>
    <w:rsid w:val="44490159"/>
    <w:rsid w:val="44653CD3"/>
    <w:rsid w:val="44C47D02"/>
    <w:rsid w:val="45482089"/>
    <w:rsid w:val="46322C7F"/>
    <w:rsid w:val="478D0328"/>
    <w:rsid w:val="47DF7A9E"/>
    <w:rsid w:val="481C657A"/>
    <w:rsid w:val="4878782F"/>
    <w:rsid w:val="48B7229B"/>
    <w:rsid w:val="48D85A2F"/>
    <w:rsid w:val="49474D3B"/>
    <w:rsid w:val="4A172E97"/>
    <w:rsid w:val="4B2013F2"/>
    <w:rsid w:val="4BBE2184"/>
    <w:rsid w:val="4BF00BE5"/>
    <w:rsid w:val="4C52232B"/>
    <w:rsid w:val="4DDC7F2C"/>
    <w:rsid w:val="4DE53452"/>
    <w:rsid w:val="4E641EF8"/>
    <w:rsid w:val="4FC42A94"/>
    <w:rsid w:val="514E2BDB"/>
    <w:rsid w:val="51B57C27"/>
    <w:rsid w:val="53855085"/>
    <w:rsid w:val="548920A7"/>
    <w:rsid w:val="58F4040A"/>
    <w:rsid w:val="59BF4CBA"/>
    <w:rsid w:val="59E5306E"/>
    <w:rsid w:val="5A48271F"/>
    <w:rsid w:val="5D3C3716"/>
    <w:rsid w:val="5DC17ED9"/>
    <w:rsid w:val="5EC573C1"/>
    <w:rsid w:val="5F404CAE"/>
    <w:rsid w:val="606C0884"/>
    <w:rsid w:val="60D81FB0"/>
    <w:rsid w:val="622D1EE1"/>
    <w:rsid w:val="63214A2C"/>
    <w:rsid w:val="63B67398"/>
    <w:rsid w:val="63F37610"/>
    <w:rsid w:val="64CB28D3"/>
    <w:rsid w:val="64F042CB"/>
    <w:rsid w:val="655D1783"/>
    <w:rsid w:val="656A57CC"/>
    <w:rsid w:val="6667676F"/>
    <w:rsid w:val="66925BBE"/>
    <w:rsid w:val="672B10C3"/>
    <w:rsid w:val="67D61749"/>
    <w:rsid w:val="67EB727C"/>
    <w:rsid w:val="6B271A0E"/>
    <w:rsid w:val="6BDF5A55"/>
    <w:rsid w:val="6CE52504"/>
    <w:rsid w:val="6D632B34"/>
    <w:rsid w:val="6D9463F5"/>
    <w:rsid w:val="6DCF19E7"/>
    <w:rsid w:val="6E2B0547"/>
    <w:rsid w:val="6EA10442"/>
    <w:rsid w:val="6EAF3D50"/>
    <w:rsid w:val="711D35C3"/>
    <w:rsid w:val="71436BE9"/>
    <w:rsid w:val="726A33D8"/>
    <w:rsid w:val="732855A5"/>
    <w:rsid w:val="74452BF7"/>
    <w:rsid w:val="746137D8"/>
    <w:rsid w:val="748B5D04"/>
    <w:rsid w:val="75381BEC"/>
    <w:rsid w:val="75FF67D5"/>
    <w:rsid w:val="775130EF"/>
    <w:rsid w:val="775F5994"/>
    <w:rsid w:val="777340C2"/>
    <w:rsid w:val="79707800"/>
    <w:rsid w:val="797A0DD2"/>
    <w:rsid w:val="7B2067E3"/>
    <w:rsid w:val="7BB842BB"/>
    <w:rsid w:val="7C2D7FF1"/>
    <w:rsid w:val="7D3E2D98"/>
    <w:rsid w:val="7D697CBB"/>
    <w:rsid w:val="7DC415C1"/>
    <w:rsid w:val="7E39304B"/>
    <w:rsid w:val="7E824EBE"/>
    <w:rsid w:val="7F4673D4"/>
    <w:rsid w:val="7F5F3E01"/>
    <w:rsid w:val="7FD66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30"/>
    </w:rPr>
  </w:style>
  <w:style w:type="paragraph" w:styleId="5">
    <w:name w:val="Balloon Text"/>
    <w:basedOn w:val="1"/>
    <w:link w:val="15"/>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toc 2"/>
    <w:basedOn w:val="1"/>
    <w:next w:val="1"/>
    <w:unhideWhenUsed/>
    <w:qFormat/>
    <w:uiPriority w:val="39"/>
    <w:pPr>
      <w:tabs>
        <w:tab w:val="right" w:leader="dot" w:pos="8296"/>
      </w:tabs>
      <w:ind w:left="420" w:leftChars="200"/>
    </w:pPr>
  </w:style>
  <w:style w:type="paragraph" w:styleId="10">
    <w:name w:val="Normal (Web)"/>
    <w:basedOn w:val="1"/>
    <w:semiHidden/>
    <w:unhideWhenUsed/>
    <w:qFormat/>
    <w:uiPriority w:val="99"/>
    <w:pPr>
      <w:spacing w:beforeAutospacing="1" w:afterAutospacing="1"/>
      <w:jc w:val="left"/>
    </w:pPr>
    <w:rPr>
      <w:kern w:val="0"/>
      <w:sz w:val="24"/>
    </w:rPr>
  </w:style>
  <w:style w:type="character" w:styleId="13">
    <w:name w:val="Strong"/>
    <w:basedOn w:val="12"/>
    <w:qFormat/>
    <w:uiPriority w:val="22"/>
    <w:rPr>
      <w:b/>
      <w:bCs/>
    </w:rPr>
  </w:style>
  <w:style w:type="character" w:styleId="14">
    <w:name w:val="Hyperlink"/>
    <w:basedOn w:val="12"/>
    <w:unhideWhenUsed/>
    <w:qFormat/>
    <w:uiPriority w:val="99"/>
    <w:rPr>
      <w:color w:val="0000FF" w:themeColor="hyperlink"/>
      <w:u w:val="single"/>
    </w:rPr>
  </w:style>
  <w:style w:type="character" w:customStyle="1" w:styleId="15">
    <w:name w:val="批注框文本 Char"/>
    <w:basedOn w:val="12"/>
    <w:link w:val="5"/>
    <w:semiHidden/>
    <w:qFormat/>
    <w:uiPriority w:val="99"/>
    <w:rPr>
      <w:rFonts w:ascii="Times New Roman" w:hAnsi="Times New Roman" w:eastAsia="宋体" w:cs="Times New Roman"/>
      <w:sz w:val="18"/>
      <w:szCs w:val="18"/>
    </w:rPr>
  </w:style>
  <w:style w:type="character" w:customStyle="1" w:styleId="16">
    <w:name w:val="页眉 Char"/>
    <w:basedOn w:val="12"/>
    <w:link w:val="7"/>
    <w:semiHidden/>
    <w:qFormat/>
    <w:uiPriority w:val="99"/>
    <w:rPr>
      <w:rFonts w:ascii="Times New Roman" w:hAnsi="Times New Roman" w:eastAsia="宋体" w:cs="Times New Roman"/>
      <w:sz w:val="18"/>
      <w:szCs w:val="18"/>
    </w:rPr>
  </w:style>
  <w:style w:type="character" w:customStyle="1" w:styleId="17">
    <w:name w:val="页脚 Char"/>
    <w:basedOn w:val="12"/>
    <w:link w:val="6"/>
    <w:qFormat/>
    <w:uiPriority w:val="99"/>
    <w:rPr>
      <w:rFonts w:ascii="Times New Roman" w:hAnsi="Times New Roman" w:eastAsia="宋体" w:cs="Times New Roman"/>
      <w:sz w:val="18"/>
      <w:szCs w:val="18"/>
    </w:rPr>
  </w:style>
  <w:style w:type="paragraph" w:styleId="18">
    <w:name w:val="List Paragraph"/>
    <w:basedOn w:val="1"/>
    <w:qFormat/>
    <w:uiPriority w:val="34"/>
    <w:pPr>
      <w:ind w:firstLine="420" w:firstLineChars="200"/>
    </w:pPr>
  </w:style>
  <w:style w:type="paragraph" w:customStyle="1" w:styleId="19">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0">
    <w:name w:val="标题 1 Char"/>
    <w:basedOn w:val="12"/>
    <w:link w:val="2"/>
    <w:qFormat/>
    <w:uiPriority w:val="9"/>
    <w:rPr>
      <w:b/>
      <w:bCs/>
      <w:kern w:val="44"/>
      <w:sz w:val="44"/>
      <w:szCs w:val="44"/>
    </w:rPr>
  </w:style>
  <w:style w:type="character" w:customStyle="1" w:styleId="21">
    <w:name w:val="标题 2 Char"/>
    <w:basedOn w:val="12"/>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78954972309175"/>
          <c:y val="0.0456140350877193"/>
          <c:w val="0.752106910666989"/>
          <c:h val="0.84623323013416"/>
        </c:manualLayout>
      </c:layout>
      <c:barChart>
        <c:barDir val="col"/>
        <c:grouping val="clustered"/>
        <c:varyColors val="0"/>
        <c:ser>
          <c:idx val="0"/>
          <c:order val="0"/>
          <c:tx>
            <c:strRef>
              <c:f>Sheet1!$B$1</c:f>
              <c:strCache>
                <c:ptCount val="1"/>
                <c:pt idx="0">
                  <c:v>2018年度</c:v>
                </c:pt>
              </c:strCache>
            </c:strRef>
          </c:tx>
          <c:spPr>
            <a:solidFill>
              <a:schemeClr val="tx2">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收支决算总计变动情况图</c:v>
                </c:pt>
              </c:strCache>
            </c:strRef>
          </c:cat>
          <c:val>
            <c:numRef>
              <c:f>Sheet1!$B$2</c:f>
              <c:numCache>
                <c:formatCode>General</c:formatCode>
                <c:ptCount val="1"/>
                <c:pt idx="0">
                  <c:v>484.74</c:v>
                </c:pt>
              </c:numCache>
            </c:numRef>
          </c:val>
        </c:ser>
        <c:ser>
          <c:idx val="1"/>
          <c:order val="1"/>
          <c:tx>
            <c:strRef>
              <c:f>Sheet1!$C$1</c:f>
              <c:strCache>
                <c:ptCount val="1"/>
                <c:pt idx="0">
                  <c:v>2019年度</c:v>
                </c:pt>
              </c:strCache>
            </c:strRef>
          </c:tx>
          <c:spPr>
            <a:solidFill>
              <a:schemeClr val="accent6">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收支决算总计变动情况图</c:v>
                </c:pt>
              </c:strCache>
            </c:strRef>
          </c:cat>
          <c:val>
            <c:numRef>
              <c:f>Sheet1!$C$2</c:f>
              <c:numCache>
                <c:formatCode>General</c:formatCode>
                <c:ptCount val="1"/>
                <c:pt idx="0">
                  <c:v>309.19</c:v>
                </c:pt>
              </c:numCache>
            </c:numRef>
          </c:val>
        </c:ser>
        <c:dLbls>
          <c:showLegendKey val="0"/>
          <c:showVal val="1"/>
          <c:showCatName val="0"/>
          <c:showSerName val="0"/>
          <c:showPercent val="0"/>
          <c:showBubbleSize val="0"/>
        </c:dLbls>
        <c:gapWidth val="150"/>
        <c:axId val="171258624"/>
        <c:axId val="171260160"/>
      </c:barChart>
      <c:catAx>
        <c:axId val="171258624"/>
        <c:scaling>
          <c:orientation val="minMax"/>
        </c:scaling>
        <c:delete val="0"/>
        <c:axPos val="b"/>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1260160"/>
        <c:crosses val="autoZero"/>
        <c:auto val="1"/>
        <c:lblAlgn val="ctr"/>
        <c:lblOffset val="100"/>
        <c:noMultiLvlLbl val="0"/>
      </c:catAx>
      <c:valAx>
        <c:axId val="171260160"/>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1258624"/>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2019年收入决算结构图</c:v>
                </c:pt>
              </c:strCache>
            </c:strRef>
          </c:tx>
          <c:spPr>
            <a:solidFill>
              <a:schemeClr val="accent2">
                <a:lumMod val="40000"/>
                <a:lumOff val="60000"/>
              </a:schemeClr>
            </a:solidFill>
          </c:spPr>
          <c:explosion val="0"/>
          <c:dPt>
            <c:idx val="0"/>
            <c:bubble3D val="0"/>
            <c:spPr>
              <a:solidFill>
                <a:schemeClr val="accent2">
                  <a:lumMod val="40000"/>
                  <a:lumOff val="60000"/>
                </a:schemeClr>
              </a:solidFill>
            </c:spPr>
          </c:dPt>
          <c:dLbls>
            <c:dLbl>
              <c:idx val="0"/>
              <c:layout>
                <c:manualLayout>
                  <c:x val="0.00144382377216464"/>
                  <c:y val="-0.340354380330727"/>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t>一般公共预算　　　　财政拨款收入</a:t>
                    </a:r>
                    <a:r>
                      <a:rPr lang="en-US" altLang="zh-CN"/>
                      <a:t>309.19</a:t>
                    </a:r>
                    <a:r>
                      <a:t>万元     </a:t>
                    </a:r>
                    <a:r>
                      <a:rPr lang="zh-CN" altLang="en-US"/>
                      <a:t> </a:t>
                    </a:r>
                    <a:r>
                      <a:t>    占100%</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80177187153931"/>
                      <c:h val="0.184637068357999"/>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一般公共预算财政拨款收入309.19万元，占</c:v>
                </c:pt>
              </c:strCache>
            </c:strRef>
          </c:cat>
          <c:val>
            <c:numRef>
              <c:f>Sheet1!$B$2</c:f>
              <c:numCache>
                <c:formatCode>0%</c:formatCode>
                <c:ptCount val="1"/>
                <c:pt idx="0">
                  <c:v>1</c:v>
                </c:pt>
              </c:numCache>
            </c:numRef>
          </c:val>
        </c:ser>
        <c:dLbls>
          <c:showLegendKey val="0"/>
          <c:showVal val="0"/>
          <c:showCatName val="1"/>
          <c:showSerName val="0"/>
          <c:showPercent val="1"/>
          <c:showBubbleSize val="0"/>
          <c:showLeaderLines val="1"/>
        </c:dLbls>
        <c:firstSliceAng val="0"/>
      </c:pieChart>
    </c:plotArea>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2019年支出决算结构</c:v>
                </c:pt>
              </c:strCache>
            </c:strRef>
          </c:tx>
          <c:spPr>
            <a:solidFill>
              <a:srgbClr val="F79646">
                <a:lumMod val="40000"/>
                <a:lumOff val="60000"/>
              </a:srgbClr>
            </a:solidFill>
          </c:spPr>
          <c:explosion val="25"/>
          <c:dPt>
            <c:idx val="0"/>
            <c:bubble3D val="0"/>
            <c:explosion val="0"/>
            <c:spPr>
              <a:solidFill>
                <a:srgbClr val="F79646">
                  <a:lumMod val="40000"/>
                  <a:lumOff val="60000"/>
                </a:srgbClr>
              </a:solidFill>
            </c:spPr>
          </c:dPt>
          <c:dPt>
            <c:idx val="1"/>
            <c:bubble3D val="0"/>
            <c:explosion val="0"/>
            <c:spPr>
              <a:solidFill>
                <a:srgbClr val="1F497D">
                  <a:lumMod val="40000"/>
                  <a:lumOff val="60000"/>
                </a:srgbClr>
              </a:solidFill>
            </c:spPr>
          </c:dPt>
          <c:dPt>
            <c:idx val="2"/>
            <c:bubble3D val="0"/>
            <c:spPr>
              <a:solidFill>
                <a:srgbClr val="F79646">
                  <a:lumMod val="40000"/>
                  <a:lumOff val="60000"/>
                </a:srgbClr>
              </a:solidFill>
            </c:spPr>
          </c:dPt>
          <c:dPt>
            <c:idx val="3"/>
            <c:bubble3D val="0"/>
            <c:spPr>
              <a:solidFill>
                <a:srgbClr val="F79646">
                  <a:lumMod val="40000"/>
                  <a:lumOff val="60000"/>
                </a:srgbClr>
              </a:solidFill>
            </c:spPr>
          </c:dPt>
          <c:dPt>
            <c:idx val="4"/>
            <c:bubble3D val="0"/>
            <c:spPr>
              <a:solidFill>
                <a:srgbClr val="F79646">
                  <a:lumMod val="40000"/>
                  <a:lumOff val="60000"/>
                </a:srgbClr>
              </a:solidFill>
            </c:spPr>
          </c:dPt>
          <c:dLbls>
            <c:dLbl>
              <c:idx val="2"/>
              <c:delete val="1"/>
            </c:dLbl>
            <c:dLbl>
              <c:idx val="3"/>
              <c:delete val="1"/>
            </c:dLbl>
            <c:dLbl>
              <c:idx val="4"/>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Sheet1!$A$2:$A$6</c:f>
              <c:strCache>
                <c:ptCount val="2"/>
                <c:pt idx="0">
                  <c:v>基本支出138.08万元占44.66%</c:v>
                </c:pt>
                <c:pt idx="1">
                  <c:v>项目支出171.11万元占53.34%</c:v>
                </c:pt>
              </c:strCache>
            </c:strRef>
          </c:cat>
          <c:val>
            <c:numRef>
              <c:f>Sheet1!$B$2:$B$6</c:f>
              <c:numCache>
                <c:formatCode>0.00%</c:formatCode>
                <c:ptCount val="5"/>
                <c:pt idx="0">
                  <c:v>0.4466</c:v>
                </c:pt>
                <c:pt idx="1">
                  <c:v>0.5334</c:v>
                </c:pt>
                <c:pt idx="4" c:formatCode="General">
                  <c:v>0</c:v>
                </c:pt>
              </c:numCache>
            </c:numRef>
          </c:val>
        </c:ser>
        <c:ser>
          <c:idx val="1"/>
          <c:order val="1"/>
          <c:tx>
            <c:strRef>
              <c:f>Sheet1!$C$1</c:f>
              <c:strCache>
                <c:ptCount val="1"/>
                <c:pt idx="0">
                  <c:v/>
                </c:pt>
              </c:strCache>
            </c:strRef>
          </c:tx>
          <c:explosion val="0"/>
          <c:dPt>
            <c:idx val="0"/>
            <c:bubble3D val="0"/>
          </c:dPt>
          <c:dPt>
            <c:idx val="1"/>
            <c:bubble3D val="0"/>
          </c:dPt>
          <c:dPt>
            <c:idx val="2"/>
            <c:bubble3D val="0"/>
          </c:dPt>
          <c:dPt>
            <c:idx val="3"/>
            <c:bubble3D val="0"/>
          </c:dPt>
          <c:dPt>
            <c:idx val="4"/>
            <c:bubble3D val="0"/>
          </c:dPt>
          <c:dPt>
            <c:idx val="5"/>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Sheet1!$A$2:$A$6</c:f>
              <c:strCache>
                <c:ptCount val="2"/>
                <c:pt idx="0">
                  <c:v>基本支出138.08万元占44.66%</c:v>
                </c:pt>
                <c:pt idx="1">
                  <c:v>项目支出171.11万元占53.34%</c:v>
                </c:pt>
              </c:strCache>
            </c:strRef>
          </c:cat>
          <c:val>
            <c:numRef>
              <c:f>Sheet1!$C$2:$C$7</c:f>
              <c:numCache>
                <c:formatCode>General</c:formatCode>
                <c:ptCount val="6"/>
              </c:numCache>
            </c:numRef>
          </c:val>
        </c:ser>
        <c:dLbls>
          <c:showLegendKey val="0"/>
          <c:showVal val="1"/>
          <c:showCatName val="0"/>
          <c:showSerName val="0"/>
          <c:showPercent val="0"/>
          <c:showBubbleSize val="0"/>
          <c:showLeaderLines val="1"/>
        </c:dLbls>
        <c:firstSliceAng val="0"/>
      </c:pieChart>
      <c:spPr>
        <a:solidFill>
          <a:schemeClr val="bg1"/>
        </a:solidFill>
      </c:spPr>
    </c:plotArea>
    <c:legend>
      <c:legendPos val="r"/>
      <c:layout>
        <c:manualLayout>
          <c:xMode val="edge"/>
          <c:yMode val="edge"/>
          <c:x val="0.68121212121212"/>
          <c:y val="0.326741573033708"/>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solidFill>
      <a:schemeClr val="bg1"/>
    </a:solidFill>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50060197447628"/>
          <c:y val="0.0431372549019608"/>
          <c:w val="0.752106910666989"/>
          <c:h val="0.84623323013416"/>
        </c:manualLayout>
      </c:layout>
      <c:barChart>
        <c:barDir val="col"/>
        <c:grouping val="clustered"/>
        <c:varyColors val="0"/>
        <c:ser>
          <c:idx val="0"/>
          <c:order val="0"/>
          <c:tx>
            <c:strRef>
              <c:f>Sheet1!$B$1</c:f>
              <c:strCache>
                <c:ptCount val="1"/>
                <c:pt idx="0">
                  <c:v>2018年度</c:v>
                </c:pt>
              </c:strCache>
            </c:strRef>
          </c:tx>
          <c:spPr>
            <a:solidFill>
              <a:schemeClr val="tx2">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财政拔款收支决算总计变动情况图</c:v>
                </c:pt>
              </c:strCache>
            </c:strRef>
          </c:cat>
          <c:val>
            <c:numRef>
              <c:f>Sheet1!$B$2</c:f>
              <c:numCache>
                <c:formatCode>General</c:formatCode>
                <c:ptCount val="1"/>
                <c:pt idx="0">
                  <c:v>484.74</c:v>
                </c:pt>
              </c:numCache>
            </c:numRef>
          </c:val>
        </c:ser>
        <c:ser>
          <c:idx val="1"/>
          <c:order val="1"/>
          <c:tx>
            <c:strRef>
              <c:f>Sheet1!$C$1</c:f>
              <c:strCache>
                <c:ptCount val="1"/>
                <c:pt idx="0">
                  <c:v>2019年度</c:v>
                </c:pt>
              </c:strCache>
            </c:strRef>
          </c:tx>
          <c:spPr>
            <a:solidFill>
              <a:schemeClr val="accent2">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财政拔款收支决算总计变动情况图</c:v>
                </c:pt>
              </c:strCache>
            </c:strRef>
          </c:cat>
          <c:val>
            <c:numRef>
              <c:f>Sheet1!$C$2</c:f>
              <c:numCache>
                <c:formatCode>General</c:formatCode>
                <c:ptCount val="1"/>
                <c:pt idx="0">
                  <c:v>309.19</c:v>
                </c:pt>
              </c:numCache>
            </c:numRef>
          </c:val>
        </c:ser>
        <c:dLbls>
          <c:showLegendKey val="0"/>
          <c:showVal val="1"/>
          <c:showCatName val="0"/>
          <c:showSerName val="0"/>
          <c:showPercent val="0"/>
          <c:showBubbleSize val="0"/>
        </c:dLbls>
        <c:gapWidth val="150"/>
        <c:axId val="172369408"/>
        <c:axId val="172370944"/>
      </c:barChart>
      <c:catAx>
        <c:axId val="172369408"/>
        <c:scaling>
          <c:orientation val="minMax"/>
        </c:scaling>
        <c:delete val="0"/>
        <c:axPos val="b"/>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2370944"/>
        <c:crosses val="autoZero"/>
        <c:auto val="1"/>
        <c:lblAlgn val="ctr"/>
        <c:lblOffset val="100"/>
        <c:noMultiLvlLbl val="0"/>
      </c:catAx>
      <c:valAx>
        <c:axId val="172370944"/>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2369408"/>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2018年度</c:v>
                </c:pt>
              </c:strCache>
            </c:strRef>
          </c:tx>
          <c:spPr>
            <a:solidFill>
              <a:schemeClr val="accent5">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一般公共预算财政拔款支出决算变动情况</c:v>
                </c:pt>
              </c:strCache>
            </c:strRef>
          </c:cat>
          <c:val>
            <c:numRef>
              <c:f>Sheet1!$B$2</c:f>
              <c:numCache>
                <c:formatCode>General</c:formatCode>
                <c:ptCount val="1"/>
                <c:pt idx="0">
                  <c:v>484.74</c:v>
                </c:pt>
              </c:numCache>
            </c:numRef>
          </c:val>
        </c:ser>
        <c:ser>
          <c:idx val="1"/>
          <c:order val="1"/>
          <c:tx>
            <c:strRef>
              <c:f>Sheet1!$C$1</c:f>
              <c:strCache>
                <c:ptCount val="1"/>
                <c:pt idx="0">
                  <c:v>2019年度</c:v>
                </c:pt>
              </c:strCache>
            </c:strRef>
          </c:tx>
          <c:spPr>
            <a:solidFill>
              <a:schemeClr val="accent6">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一般公共预算财政拔款支出决算变动情况</c:v>
                </c:pt>
              </c:strCache>
            </c:strRef>
          </c:cat>
          <c:val>
            <c:numRef>
              <c:f>Sheet1!$C$2</c:f>
              <c:numCache>
                <c:formatCode>General</c:formatCode>
                <c:ptCount val="1"/>
                <c:pt idx="0">
                  <c:v>309.19</c:v>
                </c:pt>
              </c:numCache>
            </c:numRef>
          </c:val>
        </c:ser>
        <c:dLbls>
          <c:showLegendKey val="0"/>
          <c:showVal val="1"/>
          <c:showCatName val="0"/>
          <c:showSerName val="0"/>
          <c:showPercent val="0"/>
          <c:showBubbleSize val="0"/>
        </c:dLbls>
        <c:gapWidth val="150"/>
        <c:axId val="172322816"/>
        <c:axId val="172324352"/>
      </c:barChart>
      <c:catAx>
        <c:axId val="172322816"/>
        <c:scaling>
          <c:orientation val="minMax"/>
        </c:scaling>
        <c:delete val="0"/>
        <c:axPos val="b"/>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2324352"/>
        <c:crosses val="autoZero"/>
        <c:auto val="1"/>
        <c:lblAlgn val="ctr"/>
        <c:lblOffset val="100"/>
        <c:noMultiLvlLbl val="0"/>
      </c:catAx>
      <c:valAx>
        <c:axId val="172324352"/>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2322816"/>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201</a:t>
            </a:r>
            <a:r>
              <a:rPr lang="en-US"/>
              <a:t>9</a:t>
            </a:r>
            <a:r>
              <a:t>年一般公共预算财政拨款支出               决算结构</a:t>
            </a:r>
          </a:p>
        </c:rich>
      </c:tx>
      <c:layout>
        <c:manualLayout>
          <c:xMode val="edge"/>
          <c:yMode val="edge"/>
          <c:x val="0.19925224909452"/>
          <c:y val="0"/>
        </c:manualLayout>
      </c:layout>
      <c:overlay val="0"/>
    </c:title>
    <c:autoTitleDeleted val="0"/>
    <c:plotArea>
      <c:layout>
        <c:manualLayout>
          <c:layoutTarget val="inner"/>
          <c:xMode val="edge"/>
          <c:yMode val="edge"/>
          <c:x val="0.0312457912457912"/>
          <c:y val="0.249812734082397"/>
          <c:w val="0.591245791245791"/>
          <c:h val="0.657677902621724"/>
        </c:manualLayout>
      </c:layout>
      <c:pieChart>
        <c:varyColors val="1"/>
        <c:ser>
          <c:idx val="0"/>
          <c:order val="0"/>
          <c:tx>
            <c:strRef>
              <c:f>Sheet1!$B$1</c:f>
              <c:strCache>
                <c:ptCount val="1"/>
                <c:pt idx="0">
                  <c:v>2019年一般公共预算财政拨款支出结构</c:v>
                </c:pt>
              </c:strCache>
            </c:strRef>
          </c:tx>
          <c:spPr>
            <a:solidFill>
              <a:schemeClr val="accent6">
                <a:lumMod val="40000"/>
                <a:lumOff val="60000"/>
              </a:schemeClr>
            </a:solidFill>
          </c:spPr>
          <c:explosion val="25"/>
          <c:dPt>
            <c:idx val="0"/>
            <c:bubble3D val="0"/>
            <c:spPr>
              <a:solidFill>
                <a:schemeClr val="accent6">
                  <a:lumMod val="40000"/>
                  <a:lumOff val="60000"/>
                </a:schemeClr>
              </a:solidFill>
            </c:spPr>
          </c:dPt>
          <c:dPt>
            <c:idx val="1"/>
            <c:bubble3D val="0"/>
            <c:spPr>
              <a:solidFill>
                <a:schemeClr val="accent2">
                  <a:lumMod val="40000"/>
                  <a:lumOff val="60000"/>
                </a:schemeClr>
              </a:solidFill>
            </c:spPr>
          </c:dPt>
          <c:dPt>
            <c:idx val="2"/>
            <c:bubble3D val="0"/>
            <c:spPr>
              <a:solidFill>
                <a:schemeClr val="accent5">
                  <a:lumMod val="40000"/>
                  <a:lumOff val="60000"/>
                </a:schemeClr>
              </a:solidFill>
            </c:spPr>
          </c:dPt>
          <c:dPt>
            <c:idx val="3"/>
            <c:bubble3D val="0"/>
            <c:spPr>
              <a:solidFill>
                <a:schemeClr val="accent6">
                  <a:lumMod val="40000"/>
                  <a:lumOff val="60000"/>
                </a:schemeClr>
              </a:solidFill>
            </c:spPr>
          </c:dPt>
          <c:dPt>
            <c:idx val="4"/>
            <c:bubble3D val="0"/>
            <c:spPr>
              <a:solidFill>
                <a:schemeClr val="accent6">
                  <a:lumMod val="40000"/>
                  <a:lumOff val="60000"/>
                </a:schemeClr>
              </a:solidFill>
            </c:spPr>
          </c:dPt>
          <c:dPt>
            <c:idx val="5"/>
            <c:bubble3D val="0"/>
            <c:spPr>
              <a:solidFill>
                <a:schemeClr val="accent6">
                  <a:lumMod val="40000"/>
                  <a:lumOff val="60000"/>
                </a:schemeClr>
              </a:solidFill>
            </c:spPr>
          </c:dPt>
          <c:dPt>
            <c:idx val="6"/>
            <c:bubble3D val="0"/>
            <c:spPr>
              <a:solidFill>
                <a:schemeClr val="accent6">
                  <a:lumMod val="40000"/>
                  <a:lumOff val="60000"/>
                </a:schemeClr>
              </a:solidFill>
            </c:spPr>
          </c:dPt>
          <c:dPt>
            <c:idx val="7"/>
            <c:bubble3D val="0"/>
            <c:spPr>
              <a:solidFill>
                <a:schemeClr val="accent6">
                  <a:lumMod val="40000"/>
                  <a:lumOff val="60000"/>
                </a:schemeClr>
              </a:solidFill>
            </c:spPr>
          </c:dPt>
          <c:dLbls>
            <c:dLbl>
              <c:idx val="1"/>
              <c:layout>
                <c:manualLayout>
                  <c:x val="0.135528092509961"/>
                  <c:y val="-0.14223356200646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806078051111643"/>
                  <c:y val="0.082571558919941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78805913198748"/>
                  <c:y val="0.06143816250436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792085975138782"/>
                  <c:y val="-0.0051392315230982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36932301246395"/>
                  <c:y val="-0.043668683045520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585392598684515"/>
                  <c:y val="-0.088108152253500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489433704343768"/>
                  <c:y val="-0.052869115609475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Sheet1!$A$2:$A$9</c:f>
              <c:strCache>
                <c:ptCount val="8"/>
                <c:pt idx="0">
                  <c:v>一般公共服务支出107.7万元，占支出34.83%</c:v>
                </c:pt>
                <c:pt idx="1">
                  <c:v>一般公共服务支出150.87万元，占支出48.80%</c:v>
                </c:pt>
                <c:pt idx="2">
                  <c:v>一般公共服务支出20.24万元，占支出6.55%</c:v>
                </c:pt>
                <c:pt idx="3">
                  <c:v>社会保障和就业支出11.04万元，占支出3.57%</c:v>
                </c:pt>
                <c:pt idx="4">
                  <c:v>社会保障和就业支出3.16万元，占支出1.02%</c:v>
                </c:pt>
                <c:pt idx="5">
                  <c:v>医疗卫生支出4.54万元，占支出1.47%</c:v>
                </c:pt>
                <c:pt idx="6">
                  <c:v>医疗卫生支出0.63万元,占支出0.20%</c:v>
                </c:pt>
                <c:pt idx="7">
                  <c:v>住房保障支出11.01万元，占支出3.56%</c:v>
                </c:pt>
              </c:strCache>
            </c:strRef>
          </c:cat>
          <c:val>
            <c:numRef>
              <c:f>Sheet1!$B$2:$B$9</c:f>
              <c:numCache>
                <c:formatCode>0.00%</c:formatCode>
                <c:ptCount val="8"/>
                <c:pt idx="0">
                  <c:v>0.3483</c:v>
                </c:pt>
                <c:pt idx="1">
                  <c:v>0.488</c:v>
                </c:pt>
                <c:pt idx="2">
                  <c:v>0.0655</c:v>
                </c:pt>
                <c:pt idx="3">
                  <c:v>0.0357</c:v>
                </c:pt>
                <c:pt idx="4">
                  <c:v>0.0102</c:v>
                </c:pt>
                <c:pt idx="5">
                  <c:v>0.0147</c:v>
                </c:pt>
                <c:pt idx="6">
                  <c:v>0.002</c:v>
                </c:pt>
                <c:pt idx="7">
                  <c:v>0.0356</c:v>
                </c:pt>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639479362891918"/>
          <c:y val="0.176769682223199"/>
          <c:w val="0.347447659374265"/>
          <c:h val="0.75463147578655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201</a:t>
            </a:r>
            <a:r>
              <a:rPr lang="en-US"/>
              <a:t>9</a:t>
            </a:r>
            <a:r>
              <a:t>年</a:t>
            </a:r>
            <a:r>
              <a:rPr lang="en-US" altLang="zh-CN"/>
              <a:t>“</a:t>
            </a:r>
            <a:r>
              <a:rPr altLang="en-US"/>
              <a:t>三公</a:t>
            </a:r>
            <a:r>
              <a:rPr lang="en-US" altLang="zh-CN"/>
              <a:t>”</a:t>
            </a:r>
            <a:r>
              <a:rPr altLang="en-US"/>
              <a:t>经费</a:t>
            </a:r>
            <a:r>
              <a:rPr lang="en-US" altLang="zh-CN"/>
              <a:t>                                      </a:t>
            </a:r>
            <a:r>
              <a:t>财政拨款支出结构</a:t>
            </a:r>
          </a:p>
        </c:rich>
      </c:tx>
      <c:layout/>
      <c:overlay val="0"/>
    </c:title>
    <c:autoTitleDeleted val="0"/>
    <c:plotArea>
      <c:layout>
        <c:manualLayout>
          <c:layoutTarget val="inner"/>
          <c:xMode val="edge"/>
          <c:yMode val="edge"/>
          <c:x val="0.0199326599326598"/>
          <c:y val="0.158127340823971"/>
          <c:w val="0.591245791245791"/>
          <c:h val="0.657677902621724"/>
        </c:manualLayout>
      </c:layout>
      <c:pieChart>
        <c:varyColors val="1"/>
        <c:ser>
          <c:idx val="0"/>
          <c:order val="0"/>
          <c:tx>
            <c:strRef>
              <c:f>Sheet1!$A$1</c:f>
              <c:strCache>
                <c:ptCount val="1"/>
                <c:pt idx="0">
                  <c:v>2019年财政拔款“三公”经费支出结构</c:v>
                </c:pt>
              </c:strCache>
            </c:strRef>
          </c:tx>
          <c:spPr>
            <a:solidFill>
              <a:schemeClr val="tx2">
                <a:lumMod val="40000"/>
                <a:lumOff val="60000"/>
              </a:schemeClr>
            </a:solidFill>
          </c:spPr>
          <c:explosion val="25"/>
          <c:dPt>
            <c:idx val="0"/>
            <c:bubble3D val="0"/>
            <c:spPr>
              <a:solidFill>
                <a:schemeClr val="tx2">
                  <a:lumMod val="40000"/>
                  <a:lumOff val="60000"/>
                </a:schemeClr>
              </a:solidFill>
            </c:spPr>
          </c:dPt>
          <c:dPt>
            <c:idx val="1"/>
            <c:bubble3D val="0"/>
            <c:spPr>
              <a:solidFill>
                <a:schemeClr val="tx2">
                  <a:lumMod val="40000"/>
                  <a:lumOff val="60000"/>
                </a:schemeClr>
              </a:solidFill>
            </c:spPr>
          </c:dPt>
          <c:dPt>
            <c:idx val="2"/>
            <c:bubble3D val="0"/>
            <c:explosion val="24"/>
            <c:spPr>
              <a:solidFill>
                <a:schemeClr val="tx2">
                  <a:lumMod val="40000"/>
                  <a:lumOff val="60000"/>
                </a:schemeClr>
              </a:solidFill>
            </c:spPr>
          </c:dPt>
          <c:dPt>
            <c:idx val="3"/>
            <c:bubble3D val="0"/>
            <c:spPr>
              <a:solidFill>
                <a:schemeClr val="tx2">
                  <a:lumMod val="40000"/>
                  <a:lumOff val="60000"/>
                </a:schemeClr>
              </a:solidFill>
            </c:spPr>
          </c:dPt>
          <c:dPt>
            <c:idx val="4"/>
            <c:bubble3D val="0"/>
            <c:spPr>
              <a:solidFill>
                <a:schemeClr val="tx2">
                  <a:lumMod val="40000"/>
                  <a:lumOff val="60000"/>
                </a:schemeClr>
              </a:solidFill>
            </c:spPr>
          </c:dPt>
          <c:dPt>
            <c:idx val="5"/>
            <c:bubble3D val="0"/>
            <c:spPr>
              <a:solidFill>
                <a:schemeClr val="tx2">
                  <a:lumMod val="40000"/>
                  <a:lumOff val="60000"/>
                </a:schemeClr>
              </a:solidFill>
            </c:spPr>
          </c:dPt>
          <c:dLbls>
            <c:dLbl>
              <c:idx val="0"/>
              <c:delete val="1"/>
            </c:dLbl>
            <c:dLbl>
              <c:idx val="1"/>
              <c:delete val="1"/>
            </c:dLbl>
            <c:dLbl>
              <c:idx val="2"/>
              <c:layout>
                <c:manualLayout>
                  <c:x val="0.00323176021871258"/>
                  <c:y val="-0.29068913857602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delete val="1"/>
            </c:dLbl>
            <c:dLbl>
              <c:idx val="4"/>
              <c:delete val="1"/>
            </c:dLbl>
            <c:dLbl>
              <c:idx val="5"/>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3"/>
                <c:pt idx="0">
                  <c:v>因公出国（境）费用0万元</c:v>
                </c:pt>
                <c:pt idx="1">
                  <c:v>公务用车购置及运行维护费支出0万元</c:v>
                </c:pt>
                <c:pt idx="2">
                  <c:v>公务接待费0.31万元</c:v>
                </c:pt>
              </c:strCache>
            </c:strRef>
          </c:cat>
          <c:val>
            <c:numRef>
              <c:f>Sheet1!$B$2:$B$7</c:f>
              <c:numCache>
                <c:formatCode>General</c:formatCode>
                <c:ptCount val="6"/>
                <c:pt idx="2" c:formatCode="0.00%">
                  <c:v>1</c:v>
                </c:pt>
                <c:pt idx="5">
                  <c:v>0</c:v>
                </c:pt>
              </c:numCache>
            </c:numRef>
          </c:val>
        </c:ser>
        <c:ser>
          <c:idx val="1"/>
          <c:order val="1"/>
          <c:tx>
            <c:strRef>
              <c:f>Sheet1!$C$1</c:f>
              <c:strCache>
                <c:ptCount val="1"/>
                <c:pt idx="0">
                  <c:v/>
                </c:pt>
              </c:strCache>
            </c:strRef>
          </c:tx>
          <c:explosion val="0"/>
          <c:dPt>
            <c:idx val="0"/>
            <c:bubble3D val="0"/>
          </c:dPt>
          <c:dPt>
            <c:idx val="1"/>
            <c:bubble3D val="0"/>
          </c:dPt>
          <c:dPt>
            <c:idx val="2"/>
            <c:bubble3D val="0"/>
          </c:dPt>
          <c:dPt>
            <c:idx val="3"/>
            <c:bubble3D val="0"/>
          </c:dPt>
          <c:dPt>
            <c:idx val="4"/>
            <c:bubble3D val="0"/>
          </c:dPt>
          <c:dPt>
            <c:idx val="5"/>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3"/>
                <c:pt idx="0">
                  <c:v>因公出国（境）费用0万元</c:v>
                </c:pt>
                <c:pt idx="1">
                  <c:v>公务用车购置及运行维护费支出0万元</c:v>
                </c:pt>
                <c:pt idx="2">
                  <c:v>公务接待费0.31万元</c:v>
                </c:pt>
              </c:strCache>
            </c:strRef>
          </c:cat>
          <c:val>
            <c:numRef>
              <c:f>Sheet1!$C$2:$C$7</c:f>
              <c:numCache>
                <c:formatCode>General</c:formatCode>
                <c:ptCount val="6"/>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603636363636364"/>
          <c:y val="0.31625468164794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solidFill>
      <a:schemeClr val="bg1"/>
    </a:solidFill>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1972</Words>
  <Characters>11245</Characters>
  <Lines>93</Lines>
  <Paragraphs>26</Paragraphs>
  <TotalTime>1</TotalTime>
  <ScaleCrop>false</ScaleCrop>
  <LinksUpToDate>false</LinksUpToDate>
  <CharactersWithSpaces>13191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2018-09-13T07:45:00Z</dcterms:created>
  <dc:creator>lzhp-1235</dc:creator>
  <cp:lastModifiedBy>Administrator</cp:lastModifiedBy>
  <dcterms:modified xsi:type="dcterms:W3CDTF">2020-09-16T04:07:11Z</dcterms:modified>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